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AA" w:rsidRDefault="00380FAA">
      <w:pPr>
        <w:spacing w:line="276" w:lineRule="auto"/>
        <w:ind w:firstLine="720"/>
        <w:jc w:val="both"/>
        <w:rPr>
          <w:rFonts w:asciiTheme="majorHAnsi" w:hAnsiTheme="majorHAnsi" w:cstheme="majorHAnsi"/>
        </w:rPr>
      </w:pPr>
      <w:bookmarkStart w:id="0" w:name="_GoBack"/>
      <w:bookmarkEnd w:id="0"/>
    </w:p>
    <w:p w:rsidR="00380FAA" w:rsidRDefault="00380FAA">
      <w:pPr>
        <w:spacing w:line="276" w:lineRule="auto"/>
        <w:ind w:firstLine="720"/>
        <w:jc w:val="both"/>
        <w:rPr>
          <w:rFonts w:asciiTheme="majorHAnsi" w:hAnsiTheme="majorHAnsi" w:cstheme="majorHAnsi"/>
        </w:rPr>
      </w:pPr>
    </w:p>
    <w:tbl>
      <w:tblPr>
        <w:tblW w:w="9322" w:type="dxa"/>
        <w:tblLayout w:type="fixed"/>
        <w:tblLook w:val="00A0" w:firstRow="1" w:lastRow="0" w:firstColumn="1" w:lastColumn="0" w:noHBand="0" w:noVBand="0"/>
      </w:tblPr>
      <w:tblGrid>
        <w:gridCol w:w="814"/>
        <w:gridCol w:w="8508"/>
      </w:tblGrid>
      <w:tr w:rsidR="00380FAA">
        <w:tc>
          <w:tcPr>
            <w:tcW w:w="814" w:type="dxa"/>
          </w:tcPr>
          <w:p w:rsidR="00380FAA" w:rsidRDefault="00380FAA">
            <w:pPr>
              <w:widowControl w:val="0"/>
              <w:ind w:left="-16" w:right="-108"/>
              <w:rPr>
                <w:rFonts w:asciiTheme="majorHAnsi" w:hAnsiTheme="majorHAnsi" w:cstheme="majorHAnsi"/>
                <w:b/>
              </w:rPr>
            </w:pPr>
          </w:p>
          <w:p w:rsidR="00380FAA" w:rsidRDefault="00487A7F">
            <w:pPr>
              <w:widowControl w:val="0"/>
              <w:ind w:left="-16" w:right="-108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ΘΕΜΑ: </w:t>
            </w:r>
          </w:p>
        </w:tc>
        <w:tc>
          <w:tcPr>
            <w:tcW w:w="8508" w:type="dxa"/>
          </w:tcPr>
          <w:p w:rsidR="00380FAA" w:rsidRDefault="00380FAA">
            <w:pPr>
              <w:widowControl w:val="0"/>
              <w:ind w:left="-108"/>
              <w:rPr>
                <w:rFonts w:asciiTheme="majorHAnsi" w:hAnsiTheme="majorHAnsi" w:cstheme="majorHAnsi"/>
                <w:b/>
              </w:rPr>
            </w:pPr>
          </w:p>
          <w:p w:rsidR="00380FAA" w:rsidRDefault="00487A7F">
            <w:pPr>
              <w:widowControl w:val="0"/>
              <w:ind w:left="-108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Ενημερωτικό σημείωμα από Ξενώνα Αστέγων Βόλου</w:t>
            </w:r>
          </w:p>
        </w:tc>
      </w:tr>
    </w:tbl>
    <w:p w:rsidR="00380FAA" w:rsidRDefault="00380FAA">
      <w:pPr>
        <w:spacing w:line="276" w:lineRule="auto"/>
        <w:ind w:firstLine="720"/>
        <w:jc w:val="both"/>
        <w:rPr>
          <w:rFonts w:asciiTheme="majorHAnsi" w:hAnsiTheme="majorHAnsi" w:cstheme="majorHAnsi"/>
        </w:rPr>
      </w:pPr>
    </w:p>
    <w:p w:rsidR="00380FAA" w:rsidRDefault="00487A7F">
      <w:pPr>
        <w:spacing w:line="276" w:lineRule="auto"/>
        <w:ind w:firstLine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Αξιότιμοι κυρίες και κύριοι</w:t>
      </w:r>
    </w:p>
    <w:p w:rsidR="00380FAA" w:rsidRDefault="00487A7F">
      <w:pPr>
        <w:spacing w:line="276" w:lineRule="auto"/>
        <w:ind w:firstLine="720"/>
        <w:jc w:val="both"/>
        <w:rPr>
          <w:rFonts w:asciiTheme="majorHAnsi" w:hAnsiTheme="majorHAnsi" w:cstheme="majorHAnsi"/>
          <w:b/>
        </w:rPr>
      </w:pPr>
      <w:r>
        <w:rPr>
          <w:rFonts w:ascii="Calibri" w:hAnsi="Calibri" w:cstheme="majorHAnsi"/>
          <w:b/>
        </w:rPr>
        <w:t xml:space="preserve">                                                                                                                                  </w:t>
      </w:r>
    </w:p>
    <w:p w:rsidR="00380FAA" w:rsidRDefault="00487A7F">
      <w:pPr>
        <w:spacing w:line="276" w:lineRule="auto"/>
        <w:ind w:firstLine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Είμαστε στην ευχάριστη θέση να </w:t>
      </w:r>
      <w:r>
        <w:rPr>
          <w:rFonts w:asciiTheme="majorHAnsi" w:hAnsiTheme="majorHAnsi" w:cstheme="majorHAnsi"/>
        </w:rPr>
        <w:t xml:space="preserve">καλωσορίσουμε την από κοινού προσπάθεια προσέγγισης όλων των ανθρώπων που βρίσκονται σε δυσμενείς συνθήκες στη ζωή τους. Οι μορφές της </w:t>
      </w:r>
      <w:proofErr w:type="spellStart"/>
      <w:r>
        <w:rPr>
          <w:rFonts w:asciiTheme="majorHAnsi" w:hAnsiTheme="majorHAnsi" w:cstheme="majorHAnsi"/>
        </w:rPr>
        <w:t>αστεγίας</w:t>
      </w:r>
      <w:proofErr w:type="spellEnd"/>
      <w:r>
        <w:rPr>
          <w:rFonts w:asciiTheme="majorHAnsi" w:hAnsiTheme="majorHAnsi" w:cstheme="majorHAnsi"/>
        </w:rPr>
        <w:t xml:space="preserve"> είναι πολλαπλές και πολλές φορές αόρατες από τις κοινωνικές υπηρεσίες. Ενδεικτικά σας παραθέτουμε την ευρωπαϊκή </w:t>
      </w:r>
      <w:r>
        <w:rPr>
          <w:rFonts w:asciiTheme="majorHAnsi" w:hAnsiTheme="majorHAnsi" w:cstheme="majorHAnsi"/>
        </w:rPr>
        <w:t>τυπολογία όπου διακρίνονται τέσσερις βασικές κατηγορίες και είναι οι εξής:</w:t>
      </w:r>
    </w:p>
    <w:p w:rsidR="00380FAA" w:rsidRDefault="00487A7F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="Calibri" w:eastAsia="MyriadPro-Regular" w:hAnsi="Calibri" w:cstheme="majorHAnsi"/>
        </w:rPr>
        <w:t xml:space="preserve">Άνθρωποι στο δρόμο (διαμονή σε: δημόσιους χώρους, έκτακτα υπνωτήρια) </w:t>
      </w:r>
    </w:p>
    <w:p w:rsidR="00380FAA" w:rsidRDefault="00487A7F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="Calibri" w:eastAsia="MyriadPro-Regular" w:hAnsi="Calibri" w:cstheme="majorHAnsi"/>
        </w:rPr>
        <w:t xml:space="preserve">Στερούμενοι κατοικίας (διαμονή σε: ξενώνες αστέγων, ξενώνες γυναικών, κέντρα μεταναστών/προσφύγων, πρόσωπα που </w:t>
      </w:r>
      <w:r>
        <w:rPr>
          <w:rFonts w:ascii="Calibri" w:eastAsia="MyriadPro-Regular" w:hAnsi="Calibri" w:cstheme="majorHAnsi"/>
        </w:rPr>
        <w:t xml:space="preserve">φεύγουν από ιδρύματα </w:t>
      </w:r>
      <w:proofErr w:type="spellStart"/>
      <w:r>
        <w:rPr>
          <w:rFonts w:ascii="Calibri" w:eastAsia="MyriadPro-Regular" w:hAnsi="Calibri" w:cstheme="majorHAnsi"/>
        </w:rPr>
        <w:t>π,χ</w:t>
      </w:r>
      <w:proofErr w:type="spellEnd"/>
      <w:r>
        <w:rPr>
          <w:rFonts w:ascii="Calibri" w:eastAsia="MyriadPro-Regular" w:hAnsi="Calibri" w:cstheme="majorHAnsi"/>
        </w:rPr>
        <w:t xml:space="preserve"> ορφανοτροφεία, ψυχιατρεία, νοσοκομεία, φυλακές κ.α.)</w:t>
      </w:r>
    </w:p>
    <w:p w:rsidR="00380FAA" w:rsidRDefault="00487A7F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="Calibri" w:eastAsia="MyriadPro-Regular" w:hAnsi="Calibri" w:cstheme="majorHAnsi"/>
        </w:rPr>
        <w:t>Άνθρωποι που ζουν σε επισφαλείς συνθήκες στέγασης (προσωρινή φιλοξενία σε φίλους και συγγενείς κατ’ ανάγκη, παράνομη ή παράτυπη υπενοικίαση, έξωση από ενοικιαζόμενη κατοικία ή κα</w:t>
      </w:r>
      <w:r>
        <w:rPr>
          <w:rFonts w:ascii="Calibri" w:eastAsia="MyriadPro-Regular" w:hAnsi="Calibri" w:cstheme="majorHAnsi"/>
        </w:rPr>
        <w:t xml:space="preserve">τάσχεση ιδιόκτητης κατοικίας, μη ηλεκτροδοτούμενα ή μη υδροδοτούμενα οικήματα, διαμονή σε εστία με περιστατικά ενδοοικογενειακής βίας) </w:t>
      </w:r>
    </w:p>
    <w:p w:rsidR="00380FAA" w:rsidRDefault="00487A7F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="Calibri" w:eastAsia="MyriadPro-Regular" w:hAnsi="Calibri" w:cstheme="majorHAnsi"/>
        </w:rPr>
        <w:t>Άνθρωποι που διαβιούν σε ανεπαρκή-ακατάλληλα καταλύματα (</w:t>
      </w:r>
      <w:proofErr w:type="spellStart"/>
      <w:r>
        <w:rPr>
          <w:rFonts w:ascii="Calibri" w:eastAsia="MyriadPro-Regular" w:hAnsi="Calibri" w:cstheme="majorHAnsi"/>
        </w:rPr>
        <w:t>π,χ</w:t>
      </w:r>
      <w:proofErr w:type="spellEnd"/>
      <w:r>
        <w:rPr>
          <w:rFonts w:ascii="Calibri" w:eastAsia="MyriadPro-Regular" w:hAnsi="Calibri" w:cstheme="majorHAnsi"/>
        </w:rPr>
        <w:t xml:space="preserve"> τροχόσπιτα, αυτοκίνητα, μη συμβατικές κατασκευές όπως αποθή</w:t>
      </w:r>
      <w:r>
        <w:rPr>
          <w:rFonts w:ascii="Calibri" w:eastAsia="MyriadPro-Regular" w:hAnsi="Calibri" w:cstheme="majorHAnsi"/>
        </w:rPr>
        <w:t xml:space="preserve">κες και παράγκες)  </w:t>
      </w:r>
    </w:p>
    <w:p w:rsidR="00380FAA" w:rsidRDefault="00487A7F">
      <w:pPr>
        <w:spacing w:line="276" w:lineRule="auto"/>
        <w:ind w:firstLine="720"/>
        <w:jc w:val="both"/>
        <w:rPr>
          <w:rFonts w:hint="eastAsia"/>
        </w:rPr>
      </w:pPr>
      <w:r>
        <w:rPr>
          <w:rFonts w:asciiTheme="majorHAnsi" w:hAnsiTheme="majorHAnsi" w:cstheme="majorHAnsi"/>
        </w:rPr>
        <w:t xml:space="preserve">   </w:t>
      </w:r>
    </w:p>
    <w:p w:rsidR="00380FAA" w:rsidRDefault="00487A7F">
      <w:pPr>
        <w:spacing w:line="276" w:lineRule="auto"/>
        <w:ind w:firstLine="720"/>
        <w:jc w:val="both"/>
        <w:rPr>
          <w:rFonts w:hint="eastAsia"/>
        </w:rPr>
      </w:pPr>
      <w:r>
        <w:rPr>
          <w:rFonts w:asciiTheme="majorHAnsi" w:hAnsiTheme="majorHAnsi" w:cstheme="majorHAnsi"/>
        </w:rPr>
        <w:t xml:space="preserve"> Αυτές είναι οι βασικές και οι πιο συνήθεις κατηγορίες ανθρώπων σε </w:t>
      </w:r>
      <w:proofErr w:type="spellStart"/>
      <w:r>
        <w:rPr>
          <w:rFonts w:asciiTheme="majorHAnsi" w:hAnsiTheme="majorHAnsi" w:cstheme="majorHAnsi"/>
        </w:rPr>
        <w:t>αστεγία</w:t>
      </w:r>
      <w:proofErr w:type="spellEnd"/>
      <w:r>
        <w:rPr>
          <w:rFonts w:asciiTheme="majorHAnsi" w:hAnsiTheme="majorHAnsi" w:cstheme="majorHAnsi"/>
        </w:rPr>
        <w:t>. Ωστόσο, η κάθε περίπτωση είναι μοναδική και στόχο μας αποτελούν όλες οι ευάλωτες περιπτώσεις που χρήζουν κοινωνικής συμβουλευτικής, πληροφόρησης και διασύνδ</w:t>
      </w:r>
      <w:r>
        <w:rPr>
          <w:rFonts w:asciiTheme="majorHAnsi" w:hAnsiTheme="majorHAnsi" w:cstheme="majorHAnsi"/>
        </w:rPr>
        <w:t xml:space="preserve">εσης με κοινωνικές παροχές και υπηρεσίες. Μέλημα μας αποτελεί ο εντοπισμός αυτών των περιπτώσεων. </w:t>
      </w:r>
    </w:p>
    <w:p w:rsidR="00380FAA" w:rsidRDefault="00487A7F">
      <w:pPr>
        <w:spacing w:line="276" w:lineRule="auto"/>
        <w:ind w:firstLine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Μια ενδεικτική πρακτική προσέγγισης και παραπομπής ευάλωτων ατόμων είναι η πρόταση για επαφή με </w:t>
      </w:r>
      <w:r>
        <w:rPr>
          <w:rFonts w:asciiTheme="majorHAnsi" w:hAnsiTheme="majorHAnsi" w:cstheme="majorHAnsi"/>
          <w:b/>
          <w:bCs/>
          <w:i/>
          <w:iCs/>
        </w:rPr>
        <w:t>κοινωνική υπηρεσία</w:t>
      </w:r>
      <w:r>
        <w:rPr>
          <w:rFonts w:asciiTheme="majorHAnsi" w:hAnsiTheme="majorHAnsi" w:cstheme="majorHAnsi"/>
        </w:rPr>
        <w:t xml:space="preserve"> και όχι με τον όρο </w:t>
      </w:r>
      <w:r>
        <w:rPr>
          <w:rFonts w:asciiTheme="majorHAnsi" w:hAnsiTheme="majorHAnsi" w:cstheme="majorHAnsi"/>
          <w:b/>
          <w:bCs/>
          <w:i/>
          <w:iCs/>
        </w:rPr>
        <w:t>ξενώνα αστέγων</w:t>
      </w:r>
      <w:r>
        <w:rPr>
          <w:rFonts w:asciiTheme="majorHAnsi" w:hAnsiTheme="majorHAnsi" w:cstheme="majorHAnsi"/>
        </w:rPr>
        <w:t xml:space="preserve"> καθώς έχ</w:t>
      </w:r>
      <w:r>
        <w:rPr>
          <w:rFonts w:asciiTheme="majorHAnsi" w:hAnsiTheme="majorHAnsi" w:cstheme="majorHAnsi"/>
        </w:rPr>
        <w:t>ει παρατηρηθεί ότι πιθανές στερεοτυπικές  σκέψεις που μπορεί να έχει ο ενδιαφερόμενος,  είναι αποτρεπτικές για την πραγματοποίηση της πρώτης επαφής. Στόχο αποτελεί μια πρώτη επικοινωνία ώστε να διερευνηθούν οι κοινωνικές ανάγκες και να ακολουθήσει κοινωνικ</w:t>
      </w:r>
      <w:r>
        <w:rPr>
          <w:rFonts w:asciiTheme="majorHAnsi" w:hAnsiTheme="majorHAnsi" w:cstheme="majorHAnsi"/>
        </w:rPr>
        <w:t xml:space="preserve">ή συμβουλευτική. Αρχή της κάθε προσέγγισης και πιθανής παραπομπής αποτελεί η ελεύθερη  βούληση του ατόμου για χρήση της κοινωνικής συμβουλευτικής αλλά και η προστασία του από απατηλές προσδοκίες. Το τηλέφωνο στο οποίο μπορείτε να παραπέμπετε είναι το </w:t>
      </w:r>
      <w:r>
        <w:rPr>
          <w:rFonts w:asciiTheme="majorHAnsi" w:hAnsiTheme="majorHAnsi" w:cstheme="majorHAnsi"/>
          <w:b/>
          <w:bCs/>
          <w:i/>
          <w:iCs/>
        </w:rPr>
        <w:t>24210</w:t>
      </w:r>
      <w:r>
        <w:rPr>
          <w:rFonts w:asciiTheme="majorHAnsi" w:hAnsiTheme="majorHAnsi" w:cstheme="majorHAnsi"/>
          <w:b/>
          <w:bCs/>
          <w:i/>
          <w:iCs/>
        </w:rPr>
        <w:t>91614</w:t>
      </w:r>
      <w:r>
        <w:rPr>
          <w:rFonts w:asciiTheme="majorHAnsi" w:hAnsiTheme="majorHAnsi" w:cstheme="majorHAnsi"/>
        </w:rPr>
        <w:t xml:space="preserve"> στις κοινωνικούς λειτουργούς κα </w:t>
      </w:r>
      <w:proofErr w:type="spellStart"/>
      <w:r>
        <w:rPr>
          <w:rFonts w:asciiTheme="majorHAnsi" w:hAnsiTheme="majorHAnsi" w:cstheme="majorHAnsi"/>
        </w:rPr>
        <w:t>Βησσαρία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Θεοδωροπούλου</w:t>
      </w:r>
      <w:proofErr w:type="spellEnd"/>
      <w:r>
        <w:rPr>
          <w:rFonts w:asciiTheme="majorHAnsi" w:hAnsiTheme="majorHAnsi" w:cstheme="majorHAnsi"/>
        </w:rPr>
        <w:t xml:space="preserve"> και κα Ελένη Δούκα.                                                                   </w:t>
      </w:r>
    </w:p>
    <w:p w:rsidR="00380FAA" w:rsidRDefault="00487A7F">
      <w:pPr>
        <w:spacing w:line="276" w:lineRule="auto"/>
        <w:ind w:firstLine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Είμαστε στη διάθεση σας για κάθε διευκρίνηση και υποστήριξη σε περίπτωση που έχετε εντοπίσει κάποια περίπτωση και υπάρχει δυσκολία στην προσέγγιση.                                                                                                             </w:t>
      </w:r>
      <w:r>
        <w:rPr>
          <w:rFonts w:asciiTheme="majorHAnsi" w:hAnsiTheme="majorHAnsi" w:cstheme="majorHAnsi"/>
        </w:rPr>
        <w:t xml:space="preserve">                                                                                             </w:t>
      </w:r>
    </w:p>
    <w:p w:rsidR="00380FAA" w:rsidRDefault="00380FAA">
      <w:pPr>
        <w:spacing w:line="276" w:lineRule="auto"/>
        <w:ind w:firstLine="720"/>
        <w:jc w:val="both"/>
        <w:rPr>
          <w:rFonts w:asciiTheme="majorHAnsi" w:hAnsiTheme="majorHAnsi" w:cstheme="majorHAnsi"/>
        </w:rPr>
      </w:pPr>
    </w:p>
    <w:p w:rsidR="00380FAA" w:rsidRDefault="00487A7F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                 Με εκτίμηση</w:t>
      </w:r>
    </w:p>
    <w:p w:rsidR="00380FAA" w:rsidRDefault="00487A7F">
      <w:pPr>
        <w:jc w:val="right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Βησσαρία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Θεοδωροπούλου</w:t>
      </w:r>
      <w:proofErr w:type="spellEnd"/>
    </w:p>
    <w:p w:rsidR="00380FAA" w:rsidRDefault="00487A7F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Κοινωνική Λειτουργός</w:t>
      </w:r>
    </w:p>
    <w:p w:rsidR="00380FAA" w:rsidRDefault="00487A7F">
      <w:pPr>
        <w:jc w:val="right"/>
        <w:outlineLvl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Σ</w:t>
      </w:r>
      <w:r>
        <w:rPr>
          <w:rFonts w:asciiTheme="majorHAnsi" w:hAnsiTheme="majorHAnsi" w:cstheme="majorHAnsi"/>
        </w:rPr>
        <w:t>υντονίστρια Ξενώνα Αστέγων Βόλου</w:t>
      </w:r>
    </w:p>
    <w:sectPr w:rsidR="00380FAA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A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80549"/>
    <w:multiLevelType w:val="multilevel"/>
    <w:tmpl w:val="F96A094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>
      <w:start w:val="1"/>
      <w:numFmt w:val="decimal"/>
      <w:lvlText w:val="%2."/>
      <w:lvlJc w:val="left"/>
      <w:pPr>
        <w:tabs>
          <w:tab w:val="num" w:pos="1854"/>
        </w:tabs>
        <w:ind w:left="1854" w:hanging="360"/>
      </w:pPr>
    </w:lvl>
    <w:lvl w:ilvl="2">
      <w:start w:val="1"/>
      <w:numFmt w:val="decimal"/>
      <w:lvlText w:val="%3.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>
      <w:start w:val="1"/>
      <w:numFmt w:val="decimal"/>
      <w:lvlText w:val="%5."/>
      <w:lvlJc w:val="left"/>
      <w:pPr>
        <w:tabs>
          <w:tab w:val="num" w:pos="2934"/>
        </w:tabs>
        <w:ind w:left="2934" w:hanging="360"/>
      </w:pPr>
    </w:lvl>
    <w:lvl w:ilvl="5">
      <w:start w:val="1"/>
      <w:numFmt w:val="decimal"/>
      <w:lvlText w:val="%6.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decimal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decimal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1">
    <w:nsid w:val="5EBE74AE"/>
    <w:multiLevelType w:val="multilevel"/>
    <w:tmpl w:val="21E475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380FAA"/>
    <w:rsid w:val="00380FAA"/>
    <w:rsid w:val="0048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2023-03-22T07:00:00Z</dcterms:created>
  <dcterms:modified xsi:type="dcterms:W3CDTF">2023-03-22T07:00:00Z</dcterms:modified>
  <dc:language>el-GR</dc:language>
</cp:coreProperties>
</file>