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25444" w14:textId="3E7C1292" w:rsidR="00E5190D" w:rsidRDefault="00AD2B05" w:rsidP="003A2760">
      <w:pPr>
        <w:spacing w:line="276" w:lineRule="auto"/>
        <w:ind w:left="4320" w:firstLine="720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Αθήνα</w:t>
      </w:r>
      <w:r>
        <w:rPr>
          <w:b/>
          <w:sz w:val="24"/>
          <w:szCs w:val="24"/>
          <w:highlight w:val="white"/>
        </w:rPr>
        <w:t xml:space="preserve">, </w:t>
      </w:r>
      <w:r w:rsidR="00EC280D" w:rsidRPr="00246FEF">
        <w:rPr>
          <w:b/>
          <w:sz w:val="24"/>
          <w:szCs w:val="24"/>
        </w:rPr>
        <w:t>16</w:t>
      </w:r>
      <w:r w:rsidR="00EC280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Φεβρουαρίου 202</w:t>
      </w:r>
      <w:r w:rsidR="006F0089">
        <w:rPr>
          <w:b/>
          <w:sz w:val="24"/>
          <w:szCs w:val="24"/>
        </w:rPr>
        <w:t>3</w:t>
      </w:r>
    </w:p>
    <w:p w14:paraId="7E578758" w14:textId="77600614" w:rsidR="00E5190D" w:rsidRDefault="00AD2B05" w:rsidP="003A2760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Δελτίο Τύπου</w:t>
      </w:r>
    </w:p>
    <w:p w14:paraId="3DFB007A" w14:textId="77777777" w:rsidR="00EE6AF8" w:rsidRDefault="00EE6AF8" w:rsidP="003A2760">
      <w:pPr>
        <w:spacing w:line="276" w:lineRule="auto"/>
        <w:jc w:val="both"/>
        <w:rPr>
          <w:b/>
          <w:sz w:val="24"/>
          <w:szCs w:val="24"/>
        </w:rPr>
      </w:pPr>
    </w:p>
    <w:p w14:paraId="3E75AD4E" w14:textId="36BFE7BB" w:rsidR="008A3C2E" w:rsidRDefault="008A3C2E" w:rsidP="008A3C2E">
      <w:pPr>
        <w:pStyle w:val="a4"/>
        <w:spacing w:after="0" w:line="276" w:lineRule="auto"/>
        <w:ind w:left="-270" w:right="-45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Με αφορμή την πρόσφατη απόφαση της Ολομέλειας του Αρείου Πάγου για το ζήτημα της νομιμοποίησης των Εταιρειών Διαχείρισης, η ΕΕΔΑΔΠ θα ήθελε να επισημάνει τα παρακάτω που αποτελούν επανειλημμένα διατυπωθείσες δημόσια θέσεις των Εταιρειών μελών της:</w:t>
      </w:r>
    </w:p>
    <w:p w14:paraId="348D8495" w14:textId="3424171B" w:rsidR="00B4190D" w:rsidRDefault="00B4190D" w:rsidP="003A2760">
      <w:pPr>
        <w:pStyle w:val="a4"/>
        <w:spacing w:after="0" w:line="276" w:lineRule="auto"/>
        <w:ind w:left="-270" w:right="-45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62325067" w14:textId="1534C626" w:rsidR="002F29A4" w:rsidRPr="002F29A4" w:rsidRDefault="00B4190D" w:rsidP="003A2760">
      <w:pPr>
        <w:pStyle w:val="a4"/>
        <w:spacing w:after="0" w:line="276" w:lineRule="auto"/>
        <w:ind w:left="-270" w:right="-45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Οι </w:t>
      </w:r>
      <w:r w:rsidR="00D16F5A">
        <w:rPr>
          <w:rFonts w:asciiTheme="minorHAnsi" w:eastAsia="Times New Roman" w:hAnsiTheme="minorHAnsi" w:cstheme="minorHAnsi"/>
          <w:sz w:val="24"/>
          <w:szCs w:val="24"/>
        </w:rPr>
        <w:t>Ε</w:t>
      </w:r>
      <w:r>
        <w:rPr>
          <w:rFonts w:asciiTheme="minorHAnsi" w:eastAsia="Times New Roman" w:hAnsiTheme="minorHAnsi" w:cstheme="minorHAnsi"/>
          <w:sz w:val="24"/>
          <w:szCs w:val="24"/>
        </w:rPr>
        <w:t>ταιρ</w:t>
      </w:r>
      <w:r w:rsidR="00D16F5A">
        <w:rPr>
          <w:rFonts w:asciiTheme="minorHAnsi" w:eastAsia="Times New Roman" w:hAnsiTheme="minorHAnsi" w:cstheme="minorHAnsi"/>
          <w:sz w:val="24"/>
          <w:szCs w:val="24"/>
        </w:rPr>
        <w:t>ε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ίες </w:t>
      </w:r>
      <w:r w:rsidR="00D16F5A">
        <w:rPr>
          <w:rFonts w:asciiTheme="minorHAnsi" w:eastAsia="Times New Roman" w:hAnsiTheme="minorHAnsi" w:cstheme="minorHAnsi"/>
          <w:sz w:val="24"/>
          <w:szCs w:val="24"/>
        </w:rPr>
        <w:t>Δ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ιαχείρισης </w:t>
      </w:r>
      <w:r w:rsidR="00EF799B">
        <w:rPr>
          <w:rFonts w:asciiTheme="minorHAnsi" w:eastAsia="Times New Roman" w:hAnsiTheme="minorHAnsi" w:cstheme="minorHAnsi"/>
          <w:sz w:val="24"/>
          <w:szCs w:val="24"/>
        </w:rPr>
        <w:t xml:space="preserve">έχουν ως </w:t>
      </w:r>
      <w:r w:rsidR="00EF799B" w:rsidRPr="002267A7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προτεραιότητά τους την εξεύρεση </w:t>
      </w:r>
      <w:r w:rsidR="00A960CF" w:rsidRPr="002267A7">
        <w:rPr>
          <w:rFonts w:asciiTheme="minorHAnsi" w:eastAsia="Times New Roman" w:hAnsiTheme="minorHAnsi" w:cstheme="minorHAnsi"/>
          <w:b/>
          <w:bCs/>
          <w:sz w:val="24"/>
          <w:szCs w:val="24"/>
        </w:rPr>
        <w:t>αμοι</w:t>
      </w:r>
      <w:r w:rsidR="00A960CF" w:rsidRPr="007755C3">
        <w:rPr>
          <w:rFonts w:asciiTheme="minorHAnsi" w:eastAsia="Times New Roman" w:hAnsiTheme="minorHAnsi" w:cstheme="minorHAnsi"/>
          <w:b/>
          <w:bCs/>
          <w:sz w:val="24"/>
          <w:szCs w:val="24"/>
        </w:rPr>
        <w:t>βαία αποδεκτών και βιώσιμων λύσεων</w:t>
      </w:r>
      <w:r w:rsidR="00A960CF" w:rsidRPr="007755C3">
        <w:rPr>
          <w:rFonts w:asciiTheme="minorHAnsi" w:eastAsia="Times New Roman" w:hAnsiTheme="minorHAnsi" w:cstheme="minorHAnsi"/>
          <w:sz w:val="24"/>
          <w:szCs w:val="24"/>
        </w:rPr>
        <w:t xml:space="preserve"> για την αποπληρωμή των </w:t>
      </w:r>
      <w:r w:rsidR="00D314EA" w:rsidRPr="007755C3">
        <w:rPr>
          <w:rFonts w:asciiTheme="minorHAnsi" w:eastAsia="Times New Roman" w:hAnsiTheme="minorHAnsi" w:cstheme="minorHAnsi"/>
          <w:sz w:val="24"/>
          <w:szCs w:val="24"/>
        </w:rPr>
        <w:t xml:space="preserve">εκκρεμών οφειλών. </w:t>
      </w:r>
      <w:r w:rsidR="002F29A4" w:rsidRPr="007755C3">
        <w:rPr>
          <w:rFonts w:asciiTheme="minorHAnsi" w:eastAsia="Times New Roman" w:hAnsiTheme="minorHAnsi" w:cstheme="minorHAnsi"/>
          <w:b/>
          <w:bCs/>
          <w:sz w:val="24"/>
          <w:szCs w:val="24"/>
        </w:rPr>
        <w:t>Ειδικά δε για τα ευάλωτα νοικοκυριά</w:t>
      </w:r>
      <w:r w:rsidR="00F143D9" w:rsidRPr="007755C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, κανένα από αυτά </w:t>
      </w:r>
      <w:r w:rsidR="00074579" w:rsidRPr="007755C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δεν </w:t>
      </w:r>
      <w:r w:rsidR="00515AB2" w:rsidRPr="007755C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απειλείται με </w:t>
      </w:r>
      <w:r w:rsidR="00D16F5A">
        <w:rPr>
          <w:rFonts w:asciiTheme="minorHAnsi" w:eastAsia="Times New Roman" w:hAnsiTheme="minorHAnsi" w:cstheme="minorHAnsi"/>
          <w:b/>
          <w:bCs/>
          <w:sz w:val="24"/>
          <w:szCs w:val="24"/>
        </w:rPr>
        <w:t>τον κίνδυνο απώλειας της 1</w:t>
      </w:r>
      <w:r w:rsidR="00D16F5A" w:rsidRPr="00D16F5A">
        <w:rPr>
          <w:rFonts w:asciiTheme="minorHAnsi" w:eastAsia="Times New Roman" w:hAnsiTheme="minorHAnsi" w:cstheme="minorHAnsi"/>
          <w:b/>
          <w:bCs/>
          <w:sz w:val="24"/>
          <w:szCs w:val="24"/>
          <w:vertAlign w:val="superscript"/>
        </w:rPr>
        <w:t>ης</w:t>
      </w:r>
      <w:r w:rsidR="00D16F5A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κατοικίας</w:t>
      </w:r>
      <w:r w:rsidR="00515AB2" w:rsidRPr="007755C3">
        <w:rPr>
          <w:rFonts w:asciiTheme="minorHAnsi" w:eastAsia="Times New Roman" w:hAnsiTheme="minorHAnsi" w:cstheme="minorHAnsi"/>
          <w:b/>
          <w:bCs/>
          <w:sz w:val="24"/>
          <w:szCs w:val="24"/>
        </w:rPr>
        <w:t>,</w:t>
      </w:r>
      <w:r w:rsidR="00515AB2" w:rsidRPr="007755C3">
        <w:rPr>
          <w:rFonts w:asciiTheme="minorHAnsi" w:eastAsia="Times New Roman" w:hAnsiTheme="minorHAnsi" w:cstheme="minorHAnsi"/>
          <w:sz w:val="24"/>
          <w:szCs w:val="24"/>
        </w:rPr>
        <w:t xml:space="preserve"> καθώς </w:t>
      </w:r>
      <w:r w:rsidR="00162E70" w:rsidRPr="007755C3">
        <w:rPr>
          <w:rFonts w:asciiTheme="minorHAnsi" w:eastAsia="Times New Roman" w:hAnsiTheme="minorHAnsi" w:cstheme="minorHAnsi"/>
          <w:sz w:val="24"/>
          <w:szCs w:val="24"/>
        </w:rPr>
        <w:t xml:space="preserve">αμέσως </w:t>
      </w:r>
      <w:r w:rsidR="00515AB2" w:rsidRPr="007755C3">
        <w:rPr>
          <w:rFonts w:asciiTheme="minorHAnsi" w:eastAsia="Times New Roman" w:hAnsiTheme="minorHAnsi" w:cstheme="minorHAnsi"/>
          <w:sz w:val="24"/>
          <w:szCs w:val="24"/>
        </w:rPr>
        <w:t xml:space="preserve">με την έκδοση </w:t>
      </w:r>
      <w:r w:rsidR="0099511C">
        <w:rPr>
          <w:rFonts w:asciiTheme="minorHAnsi" w:eastAsia="Times New Roman" w:hAnsiTheme="minorHAnsi" w:cstheme="minorHAnsi"/>
          <w:sz w:val="24"/>
          <w:szCs w:val="24"/>
        </w:rPr>
        <w:t xml:space="preserve">της σχετικής βεβαίωσης </w:t>
      </w:r>
      <w:proofErr w:type="spellStart"/>
      <w:r w:rsidR="0099511C">
        <w:rPr>
          <w:rFonts w:asciiTheme="minorHAnsi" w:eastAsia="Times New Roman" w:hAnsiTheme="minorHAnsi" w:cstheme="minorHAnsi"/>
          <w:sz w:val="24"/>
          <w:szCs w:val="24"/>
        </w:rPr>
        <w:t>ευαλώτου</w:t>
      </w:r>
      <w:proofErr w:type="spellEnd"/>
      <w:r w:rsidR="007755C3" w:rsidRPr="007755C3">
        <w:rPr>
          <w:rFonts w:asciiTheme="minorHAnsi" w:eastAsia="Times New Roman" w:hAnsiTheme="minorHAnsi" w:cstheme="minorHAnsi"/>
          <w:sz w:val="24"/>
          <w:szCs w:val="24"/>
        </w:rPr>
        <w:t xml:space="preserve"> και την ένταξη στο Ενδιάμεσο Πρόγραμμα,</w:t>
      </w:r>
      <w:r w:rsidR="00515AB2" w:rsidRPr="007755C3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162E70" w:rsidRPr="007755C3">
        <w:rPr>
          <w:rFonts w:asciiTheme="minorHAnsi" w:eastAsia="Times New Roman" w:hAnsiTheme="minorHAnsi" w:cstheme="minorHAnsi"/>
          <w:sz w:val="24"/>
          <w:szCs w:val="24"/>
        </w:rPr>
        <w:t xml:space="preserve">ο </w:t>
      </w:r>
      <w:r w:rsidR="007755C3" w:rsidRPr="007755C3">
        <w:rPr>
          <w:rFonts w:asciiTheme="minorHAnsi" w:eastAsia="Times New Roman" w:hAnsiTheme="minorHAnsi" w:cstheme="minorHAnsi"/>
          <w:sz w:val="24"/>
          <w:szCs w:val="24"/>
        </w:rPr>
        <w:t>Ν</w:t>
      </w:r>
      <w:r w:rsidR="00162E70" w:rsidRPr="007755C3">
        <w:rPr>
          <w:rFonts w:asciiTheme="minorHAnsi" w:eastAsia="Times New Roman" w:hAnsiTheme="minorHAnsi" w:cstheme="minorHAnsi"/>
          <w:sz w:val="24"/>
          <w:szCs w:val="24"/>
        </w:rPr>
        <w:t>όμος επιβάλλει την αναστολή κάθε ενέργειας αναγκαστικής εκτέλεσης.</w:t>
      </w:r>
    </w:p>
    <w:p w14:paraId="18228F5D" w14:textId="77777777" w:rsidR="002F29A4" w:rsidRDefault="002F29A4" w:rsidP="003A2760">
      <w:pPr>
        <w:pStyle w:val="a4"/>
        <w:spacing w:after="0" w:line="276" w:lineRule="auto"/>
        <w:ind w:left="-270" w:right="-45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AD88AFF" w14:textId="7422CEF8" w:rsidR="004C22EE" w:rsidRPr="00A3365B" w:rsidRDefault="00162E70" w:rsidP="007A0D69">
      <w:pPr>
        <w:pStyle w:val="a4"/>
        <w:spacing w:after="0" w:line="276" w:lineRule="auto"/>
        <w:ind w:left="-270" w:right="-45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Η προσήλωση των </w:t>
      </w:r>
      <w:r w:rsidR="007A0D69">
        <w:rPr>
          <w:rFonts w:asciiTheme="minorHAnsi" w:eastAsia="Times New Roman" w:hAnsiTheme="minorHAnsi" w:cstheme="minorHAnsi"/>
          <w:sz w:val="24"/>
          <w:szCs w:val="24"/>
        </w:rPr>
        <w:t xml:space="preserve">μελών της ΕΕΔΑΔΠ </w:t>
      </w:r>
      <w:r w:rsidR="00A3365B">
        <w:rPr>
          <w:rFonts w:asciiTheme="minorHAnsi" w:eastAsia="Times New Roman" w:hAnsiTheme="minorHAnsi" w:cstheme="minorHAnsi"/>
          <w:sz w:val="24"/>
          <w:szCs w:val="24"/>
        </w:rPr>
        <w:t>στην επιτυχή συναινετική διαδικασία</w:t>
      </w:r>
      <w:r w:rsidR="007A0D6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D314EA">
        <w:rPr>
          <w:rFonts w:asciiTheme="minorHAnsi" w:eastAsia="Times New Roman" w:hAnsiTheme="minorHAnsi" w:cstheme="minorHAnsi"/>
          <w:sz w:val="24"/>
          <w:szCs w:val="24"/>
        </w:rPr>
        <w:t xml:space="preserve">αποδεικνύεται από το γεγονός ότι </w:t>
      </w:r>
      <w:r w:rsidR="00AB06CD">
        <w:rPr>
          <w:rFonts w:asciiTheme="minorHAnsi" w:eastAsia="Times New Roman" w:hAnsiTheme="minorHAnsi" w:cstheme="minorHAnsi"/>
          <w:sz w:val="24"/>
          <w:szCs w:val="24"/>
        </w:rPr>
        <w:t>σ</w:t>
      </w:r>
      <w:r w:rsidR="00BA3D97" w:rsidRPr="008016CD">
        <w:rPr>
          <w:rFonts w:asciiTheme="minorHAnsi" w:eastAsia="Times New Roman" w:hAnsiTheme="minorHAnsi" w:cstheme="minorHAnsi"/>
          <w:sz w:val="24"/>
          <w:szCs w:val="24"/>
        </w:rPr>
        <w:t>υνολικά, έως τα τέλη του 2022, έχουν</w:t>
      </w:r>
      <w:r w:rsidR="00BA3D97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AF4DCD">
        <w:rPr>
          <w:rFonts w:asciiTheme="minorHAnsi" w:eastAsia="Times New Roman" w:hAnsiTheme="minorHAnsi" w:cstheme="minorHAnsi"/>
          <w:sz w:val="24"/>
          <w:szCs w:val="24"/>
        </w:rPr>
        <w:t xml:space="preserve">επιτύχει διμερείς ρυθμίσεις για δάνεια </w:t>
      </w:r>
      <w:r w:rsidR="00AF4DCD" w:rsidRPr="00605898">
        <w:rPr>
          <w:rFonts w:asciiTheme="minorHAnsi" w:eastAsia="Times New Roman" w:hAnsiTheme="minorHAnsi" w:cstheme="minorHAnsi"/>
          <w:sz w:val="24"/>
          <w:szCs w:val="24"/>
        </w:rPr>
        <w:t xml:space="preserve">που υπερβαίνουν συνολικά τα </w:t>
      </w:r>
      <w:r w:rsidR="0015786D" w:rsidRPr="00605898">
        <w:rPr>
          <w:rFonts w:asciiTheme="minorHAnsi" w:eastAsia="Times New Roman" w:hAnsiTheme="minorHAnsi" w:cstheme="minorHAnsi"/>
          <w:sz w:val="24"/>
          <w:szCs w:val="24"/>
        </w:rPr>
        <w:t xml:space="preserve">€35 </w:t>
      </w:r>
      <w:r w:rsidR="00734513" w:rsidRPr="00200FE7">
        <w:rPr>
          <w:rFonts w:asciiTheme="minorHAnsi" w:eastAsia="Times New Roman" w:hAnsiTheme="minorHAnsi" w:cstheme="minorHAnsi"/>
          <w:sz w:val="24"/>
          <w:szCs w:val="24"/>
        </w:rPr>
        <w:t>δισ.</w:t>
      </w:r>
      <w:r w:rsidR="0015786D" w:rsidRPr="00605898">
        <w:rPr>
          <w:rFonts w:asciiTheme="minorHAnsi" w:eastAsia="Times New Roman" w:hAnsiTheme="minorHAnsi" w:cstheme="minorHAnsi"/>
          <w:sz w:val="24"/>
          <w:szCs w:val="24"/>
        </w:rPr>
        <w:t xml:space="preserve">, επαναφέροντας με τον τρόπο αυτό στον υγιή οικονομικό κύκλο περισσότερους από </w:t>
      </w:r>
      <w:r w:rsidR="00BA3D97" w:rsidRPr="00605898">
        <w:rPr>
          <w:rFonts w:asciiTheme="minorHAnsi" w:eastAsia="Times New Roman" w:hAnsiTheme="minorHAnsi" w:cstheme="minorHAnsi"/>
          <w:sz w:val="24"/>
          <w:szCs w:val="24"/>
        </w:rPr>
        <w:t>700</w:t>
      </w:r>
      <w:r w:rsidR="0015786D" w:rsidRPr="00605898">
        <w:rPr>
          <w:rFonts w:asciiTheme="minorHAnsi" w:eastAsia="Times New Roman" w:hAnsiTheme="minorHAnsi" w:cstheme="minorHAnsi"/>
          <w:sz w:val="24"/>
          <w:szCs w:val="24"/>
        </w:rPr>
        <w:t>.</w:t>
      </w:r>
      <w:r w:rsidR="00BA3D97" w:rsidRPr="00605898">
        <w:rPr>
          <w:rFonts w:asciiTheme="minorHAnsi" w:eastAsia="Times New Roman" w:hAnsiTheme="minorHAnsi" w:cstheme="minorHAnsi"/>
          <w:sz w:val="24"/>
          <w:szCs w:val="24"/>
        </w:rPr>
        <w:t xml:space="preserve">000 δανειολήπτες, ιδιώτες και επιχειρήσεις. </w:t>
      </w:r>
      <w:r w:rsidR="00605898">
        <w:rPr>
          <w:rFonts w:asciiTheme="minorHAnsi" w:eastAsia="Times New Roman" w:hAnsiTheme="minorHAnsi" w:cstheme="minorHAnsi"/>
          <w:sz w:val="24"/>
          <w:szCs w:val="24"/>
        </w:rPr>
        <w:t xml:space="preserve">Από αυτά, δάνεια </w:t>
      </w:r>
      <w:r w:rsidR="003815C6">
        <w:rPr>
          <w:rFonts w:asciiTheme="minorHAnsi" w:eastAsia="Times New Roman" w:hAnsiTheme="minorHAnsi" w:cstheme="minorHAnsi"/>
          <w:sz w:val="24"/>
          <w:szCs w:val="24"/>
        </w:rPr>
        <w:t xml:space="preserve">άνω των €8 </w:t>
      </w:r>
      <w:r w:rsidR="00734513" w:rsidRPr="00200FE7">
        <w:rPr>
          <w:rFonts w:asciiTheme="minorHAnsi" w:eastAsia="Times New Roman" w:hAnsiTheme="minorHAnsi" w:cstheme="minorHAnsi"/>
          <w:sz w:val="24"/>
          <w:szCs w:val="24"/>
        </w:rPr>
        <w:t>δισ.</w:t>
      </w:r>
      <w:r w:rsidR="003815C6">
        <w:rPr>
          <w:rFonts w:asciiTheme="minorHAnsi" w:eastAsia="Times New Roman" w:hAnsiTheme="minorHAnsi" w:cstheme="minorHAnsi"/>
          <w:sz w:val="24"/>
          <w:szCs w:val="24"/>
        </w:rPr>
        <w:t xml:space="preserve"> έχουν επανέλθει σε καθεστώς ομαλής αποπληρωμής την τελευταία τριετία και έχουν επιστρέψει στους τραπεζικούς ισολογισμούς ως εξυπηρετούμενα, αποκαθιστώντας την πρόσβαση στο τραπεζικό σύστημα για </w:t>
      </w:r>
      <w:r w:rsidR="009B5984">
        <w:rPr>
          <w:rFonts w:asciiTheme="minorHAnsi" w:eastAsia="Times New Roman" w:hAnsiTheme="minorHAnsi" w:cstheme="minorHAnsi"/>
          <w:sz w:val="24"/>
          <w:szCs w:val="24"/>
        </w:rPr>
        <w:t>περισσότερους από 115.00</w:t>
      </w:r>
      <w:r w:rsidR="00167178">
        <w:rPr>
          <w:rFonts w:asciiTheme="minorHAnsi" w:eastAsia="Times New Roman" w:hAnsiTheme="minorHAnsi" w:cstheme="minorHAnsi"/>
          <w:sz w:val="24"/>
          <w:szCs w:val="24"/>
        </w:rPr>
        <w:t>0</w:t>
      </w:r>
      <w:r w:rsidR="009B5984">
        <w:rPr>
          <w:rFonts w:asciiTheme="minorHAnsi" w:eastAsia="Times New Roman" w:hAnsiTheme="minorHAnsi" w:cstheme="minorHAnsi"/>
          <w:sz w:val="24"/>
          <w:szCs w:val="24"/>
        </w:rPr>
        <w:t xml:space="preserve"> δανειολήπτες.</w:t>
      </w:r>
      <w:r w:rsidR="00C85E7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074330">
        <w:rPr>
          <w:rFonts w:asciiTheme="minorHAnsi" w:eastAsia="Times New Roman" w:hAnsiTheme="minorHAnsi" w:cstheme="minorHAnsi"/>
          <w:sz w:val="24"/>
          <w:szCs w:val="24"/>
        </w:rPr>
        <w:t xml:space="preserve">Οι συναινετικές ρυθμίσεις στην πλειονότητα των περιπτώσεων περιλαμβάνουν και άφεση χρέους. </w:t>
      </w:r>
      <w:r w:rsidR="004C22EE" w:rsidRPr="00A3365B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Για το </w:t>
      </w:r>
      <w:r w:rsidR="00200FE7" w:rsidRPr="00A3365B">
        <w:rPr>
          <w:rFonts w:asciiTheme="minorHAnsi" w:eastAsia="Times New Roman" w:hAnsiTheme="minorHAnsi" w:cstheme="minorHAnsi"/>
          <w:b/>
          <w:bCs/>
          <w:sz w:val="24"/>
          <w:szCs w:val="24"/>
        </w:rPr>
        <w:t>α</w:t>
      </w:r>
      <w:r w:rsidR="004C22EE" w:rsidRPr="00A3365B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’ </w:t>
      </w:r>
      <w:r w:rsidR="00200FE7" w:rsidRPr="00A3365B">
        <w:rPr>
          <w:rFonts w:asciiTheme="minorHAnsi" w:eastAsia="Times New Roman" w:hAnsiTheme="minorHAnsi" w:cstheme="minorHAnsi"/>
          <w:b/>
          <w:bCs/>
          <w:sz w:val="24"/>
          <w:szCs w:val="24"/>
        </w:rPr>
        <w:t>ε</w:t>
      </w:r>
      <w:r w:rsidR="004C22EE" w:rsidRPr="00A3365B">
        <w:rPr>
          <w:rFonts w:asciiTheme="minorHAnsi" w:eastAsia="Times New Roman" w:hAnsiTheme="minorHAnsi" w:cstheme="minorHAnsi"/>
          <w:b/>
          <w:bCs/>
          <w:sz w:val="24"/>
          <w:szCs w:val="24"/>
        </w:rPr>
        <w:t>ξάμηνο του 2023, οι Εταιρ</w:t>
      </w:r>
      <w:r w:rsidR="008A3C2E">
        <w:rPr>
          <w:rFonts w:asciiTheme="minorHAnsi" w:eastAsia="Times New Roman" w:hAnsiTheme="minorHAnsi" w:cstheme="minorHAnsi"/>
          <w:b/>
          <w:bCs/>
          <w:sz w:val="24"/>
          <w:szCs w:val="24"/>
        </w:rPr>
        <w:t>ε</w:t>
      </w:r>
      <w:r w:rsidR="004C22EE" w:rsidRPr="00A3365B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ίες Διαχείρισης Δανείων έχουν θέσει ως στόχο οι ρυθμίσεις και διευθετήσεις δανείων </w:t>
      </w:r>
      <w:r w:rsidR="00200FE7" w:rsidRPr="00A3365B">
        <w:rPr>
          <w:rFonts w:asciiTheme="minorHAnsi" w:eastAsia="Times New Roman" w:hAnsiTheme="minorHAnsi" w:cstheme="minorHAnsi"/>
          <w:b/>
          <w:bCs/>
          <w:sz w:val="24"/>
          <w:szCs w:val="24"/>
        </w:rPr>
        <w:t>να ανέλθουν σε</w:t>
      </w:r>
      <w:r w:rsidR="004C22EE" w:rsidRPr="00A3365B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€ 3,2 δισ., αυξημένες πάνω από 30% σε σχέση με την ίδια περίοδο του 2022.</w:t>
      </w:r>
      <w:r w:rsidR="00200FE7" w:rsidRPr="00A3365B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</w:p>
    <w:p w14:paraId="705935B2" w14:textId="77777777" w:rsidR="004C22EE" w:rsidRPr="008016CD" w:rsidRDefault="004C22EE" w:rsidP="003A2760">
      <w:pPr>
        <w:pStyle w:val="a4"/>
        <w:spacing w:after="0" w:line="276" w:lineRule="auto"/>
        <w:ind w:left="-270" w:right="-45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C84D483" w14:textId="2C5A4C18" w:rsidR="00B8146D" w:rsidRDefault="0059138E" w:rsidP="003A2760">
      <w:pPr>
        <w:pStyle w:val="a4"/>
        <w:spacing w:after="0" w:line="276" w:lineRule="auto"/>
        <w:ind w:left="-270" w:right="-45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Τα μέλη της ΕΕΔΑΔΠ επαναλαμβάνουν και στην παρούσα συγκυρία</w:t>
      </w:r>
      <w:r w:rsidR="003D6E35">
        <w:rPr>
          <w:rFonts w:asciiTheme="minorHAnsi" w:eastAsia="Times New Roman" w:hAnsiTheme="minorHAnsi" w:cstheme="minorHAnsi"/>
          <w:sz w:val="24"/>
          <w:szCs w:val="24"/>
        </w:rPr>
        <w:t xml:space="preserve"> ότι, όπως έχουν δηλώσει σε πλείστες άλλες περιστάσεις οι θεσμικοί εκπρόσωποι του κλάδου και τα στελέχη των </w:t>
      </w:r>
      <w:r w:rsidR="008A3C2E">
        <w:rPr>
          <w:rFonts w:asciiTheme="minorHAnsi" w:eastAsia="Times New Roman" w:hAnsiTheme="minorHAnsi" w:cstheme="minorHAnsi"/>
          <w:sz w:val="24"/>
          <w:szCs w:val="24"/>
        </w:rPr>
        <w:t>Εταιρειών</w:t>
      </w:r>
      <w:r w:rsidR="00426734">
        <w:rPr>
          <w:rFonts w:asciiTheme="minorHAnsi" w:eastAsia="Times New Roman" w:hAnsiTheme="minorHAnsi" w:cstheme="minorHAnsi"/>
          <w:sz w:val="24"/>
          <w:szCs w:val="24"/>
        </w:rPr>
        <w:t xml:space="preserve">-μελών, </w:t>
      </w:r>
      <w:r w:rsidR="00B8146D">
        <w:rPr>
          <w:rFonts w:asciiTheme="minorHAnsi" w:eastAsia="Times New Roman" w:hAnsiTheme="minorHAnsi" w:cstheme="minorHAnsi"/>
          <w:sz w:val="24"/>
          <w:szCs w:val="24"/>
        </w:rPr>
        <w:t xml:space="preserve">τα μέτρα αναγκαστικής εκτέλεσης σε καμία περίπτωση </w:t>
      </w:r>
      <w:r w:rsidR="00426734" w:rsidRPr="00B8146D">
        <w:rPr>
          <w:rFonts w:asciiTheme="minorHAnsi" w:eastAsia="Times New Roman" w:hAnsiTheme="minorHAnsi" w:cstheme="minorHAnsi"/>
          <w:sz w:val="24"/>
          <w:szCs w:val="24"/>
        </w:rPr>
        <w:t>δεν αποτελούν λύση εκλογής στη διαχείριση των αθετημένων οφειλών</w:t>
      </w:r>
      <w:r w:rsidR="00B8146D">
        <w:rPr>
          <w:rFonts w:asciiTheme="minorHAnsi" w:eastAsia="Times New Roman" w:hAnsiTheme="minorHAnsi" w:cstheme="minorHAnsi"/>
          <w:sz w:val="24"/>
          <w:szCs w:val="24"/>
        </w:rPr>
        <w:t>. Αρκεί μόνο να σημειωθεί ότι κατά τα έτη 2020 – 2022, το</w:t>
      </w:r>
      <w:r w:rsidR="00B8146D" w:rsidRPr="00CA6872">
        <w:rPr>
          <w:rFonts w:asciiTheme="minorHAnsi" w:eastAsia="Times New Roman" w:hAnsiTheme="minorHAnsi" w:cstheme="minorHAnsi"/>
          <w:sz w:val="24"/>
          <w:szCs w:val="24"/>
        </w:rPr>
        <w:t xml:space="preserve"> 83% των ανακτήσεων</w:t>
      </w:r>
      <w:r w:rsidR="00A86EA6">
        <w:rPr>
          <w:rFonts w:asciiTheme="minorHAnsi" w:eastAsia="Times New Roman" w:hAnsiTheme="minorHAnsi" w:cstheme="minorHAnsi"/>
          <w:sz w:val="24"/>
          <w:szCs w:val="24"/>
        </w:rPr>
        <w:t xml:space="preserve"> των </w:t>
      </w:r>
      <w:r w:rsidR="008A3C2E">
        <w:rPr>
          <w:rFonts w:asciiTheme="minorHAnsi" w:eastAsia="Times New Roman" w:hAnsiTheme="minorHAnsi" w:cstheme="minorHAnsi"/>
          <w:sz w:val="24"/>
          <w:szCs w:val="24"/>
        </w:rPr>
        <w:t>Εταιρειών</w:t>
      </w:r>
      <w:r w:rsidR="00A86EA6">
        <w:rPr>
          <w:rFonts w:asciiTheme="minorHAnsi" w:eastAsia="Times New Roman" w:hAnsiTheme="minorHAnsi" w:cstheme="minorHAnsi"/>
          <w:sz w:val="24"/>
          <w:szCs w:val="24"/>
        </w:rPr>
        <w:t>-μελών της ΕΕΔΑΔΠ</w:t>
      </w:r>
      <w:r w:rsidR="00B8146D">
        <w:rPr>
          <w:rFonts w:asciiTheme="minorHAnsi" w:eastAsia="Times New Roman" w:hAnsiTheme="minorHAnsi" w:cstheme="minorHAnsi"/>
          <w:sz w:val="24"/>
          <w:szCs w:val="24"/>
        </w:rPr>
        <w:t xml:space="preserve"> από Μη Εξυπηρετούμενα Δάνεια προήλθε από συναινετικές διευθ</w:t>
      </w:r>
      <w:r w:rsidR="00A86EA6">
        <w:rPr>
          <w:rFonts w:asciiTheme="minorHAnsi" w:eastAsia="Times New Roman" w:hAnsiTheme="minorHAnsi" w:cstheme="minorHAnsi"/>
          <w:sz w:val="24"/>
          <w:szCs w:val="24"/>
        </w:rPr>
        <w:t>ετήσεις</w:t>
      </w:r>
      <w:r w:rsidR="00B8146D">
        <w:rPr>
          <w:rFonts w:asciiTheme="minorHAnsi" w:eastAsia="Times New Roman" w:hAnsiTheme="minorHAnsi" w:cstheme="minorHAnsi"/>
          <w:sz w:val="24"/>
          <w:szCs w:val="24"/>
        </w:rPr>
        <w:t>, ενώ μόνο</w:t>
      </w:r>
      <w:r w:rsidR="00B8146D" w:rsidRPr="00CA6872">
        <w:rPr>
          <w:rFonts w:asciiTheme="minorHAnsi" w:eastAsia="Times New Roman" w:hAnsiTheme="minorHAnsi" w:cstheme="minorHAnsi"/>
          <w:sz w:val="24"/>
          <w:szCs w:val="24"/>
        </w:rPr>
        <w:t xml:space="preserve"> το 17%</w:t>
      </w:r>
      <w:r w:rsidR="00B8146D">
        <w:rPr>
          <w:rFonts w:asciiTheme="minorHAnsi" w:eastAsia="Times New Roman" w:hAnsiTheme="minorHAnsi" w:cstheme="minorHAnsi"/>
          <w:sz w:val="24"/>
          <w:szCs w:val="24"/>
        </w:rPr>
        <w:t xml:space="preserve"> των ανακτήσεων προήλθε από</w:t>
      </w:r>
      <w:r w:rsidR="00B8146D" w:rsidRPr="00CA6872">
        <w:rPr>
          <w:rFonts w:asciiTheme="minorHAnsi" w:eastAsia="Times New Roman" w:hAnsiTheme="minorHAnsi" w:cstheme="minorHAnsi"/>
          <w:sz w:val="24"/>
          <w:szCs w:val="24"/>
        </w:rPr>
        <w:t xml:space="preserve"> πλειστηριασμούς</w:t>
      </w:r>
      <w:r w:rsidR="00B8146D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6451864D" w14:textId="77777777" w:rsidR="00B8146D" w:rsidRDefault="00B8146D" w:rsidP="003A2760">
      <w:pPr>
        <w:pStyle w:val="a4"/>
        <w:spacing w:after="0" w:line="276" w:lineRule="auto"/>
        <w:ind w:left="-270" w:right="-45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D1AF70B" w14:textId="6736E0B5" w:rsidR="00556FD4" w:rsidRDefault="00A86EA6" w:rsidP="003A2760">
      <w:pPr>
        <w:tabs>
          <w:tab w:val="left" w:pos="3520"/>
        </w:tabs>
        <w:spacing w:after="0" w:line="276" w:lineRule="auto"/>
        <w:ind w:left="-270" w:right="-45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Α</w:t>
      </w:r>
      <w:r w:rsidR="00426734" w:rsidRPr="00B8146D">
        <w:rPr>
          <w:rFonts w:asciiTheme="minorHAnsi" w:eastAsia="Times New Roman" w:hAnsiTheme="minorHAnsi" w:cstheme="minorHAnsi"/>
          <w:sz w:val="24"/>
          <w:szCs w:val="24"/>
        </w:rPr>
        <w:t>ντιθέτως</w:t>
      </w:r>
      <w:r>
        <w:rPr>
          <w:rFonts w:asciiTheme="minorHAnsi" w:eastAsia="Times New Roman" w:hAnsiTheme="minorHAnsi" w:cstheme="minorHAnsi"/>
          <w:sz w:val="24"/>
          <w:szCs w:val="24"/>
        </w:rPr>
        <w:t>, η αναγκαστική εκτέλεση</w:t>
      </w:r>
      <w:r w:rsidR="00426734" w:rsidRPr="00B8146D">
        <w:rPr>
          <w:rFonts w:asciiTheme="minorHAnsi" w:eastAsia="Times New Roman" w:hAnsiTheme="minorHAnsi" w:cstheme="minorHAnsi"/>
          <w:sz w:val="24"/>
          <w:szCs w:val="24"/>
        </w:rPr>
        <w:t xml:space="preserve"> συνιστ</w:t>
      </w:r>
      <w:r>
        <w:rPr>
          <w:rFonts w:asciiTheme="minorHAnsi" w:eastAsia="Times New Roman" w:hAnsiTheme="minorHAnsi" w:cstheme="minorHAnsi"/>
          <w:sz w:val="24"/>
          <w:szCs w:val="24"/>
        </w:rPr>
        <w:t>ά</w:t>
      </w:r>
      <w:r w:rsidR="00426734" w:rsidRPr="00B8146D">
        <w:rPr>
          <w:rFonts w:asciiTheme="minorHAnsi" w:eastAsia="Times New Roman" w:hAnsiTheme="minorHAnsi" w:cstheme="minorHAnsi"/>
          <w:sz w:val="24"/>
          <w:szCs w:val="24"/>
        </w:rPr>
        <w:t xml:space="preserve"> την έσχατη καταφυγή</w:t>
      </w:r>
      <w:r w:rsidR="001C2BC2" w:rsidRPr="00B8146D">
        <w:rPr>
          <w:rFonts w:asciiTheme="minorHAnsi" w:eastAsia="Times New Roman" w:hAnsiTheme="minorHAnsi" w:cstheme="minorHAnsi"/>
          <w:sz w:val="24"/>
          <w:szCs w:val="24"/>
        </w:rPr>
        <w:t xml:space="preserve">, στην οποία καταλήγουν μόνον όταν έχει εξαντληθεί κάθε άλλη δυνατή λύση, είτε </w:t>
      </w:r>
      <w:r w:rsidR="00877F5B" w:rsidRPr="00B8146D">
        <w:rPr>
          <w:rFonts w:asciiTheme="minorHAnsi" w:eastAsia="Times New Roman" w:hAnsiTheme="minorHAnsi" w:cstheme="minorHAnsi"/>
          <w:sz w:val="24"/>
          <w:szCs w:val="24"/>
        </w:rPr>
        <w:t xml:space="preserve">για αντικειμενικούς λόγους, είτε </w:t>
      </w:r>
      <w:r w:rsidR="00877F5B" w:rsidRPr="00B8146D">
        <w:rPr>
          <w:rFonts w:asciiTheme="minorHAnsi" w:eastAsia="Times New Roman" w:hAnsiTheme="minorHAnsi" w:cstheme="minorHAnsi"/>
          <w:sz w:val="24"/>
          <w:szCs w:val="24"/>
        </w:rPr>
        <w:lastRenderedPageBreak/>
        <w:t>επειδή οι οφειλέτες αρνούνται να συνεργαστούν</w:t>
      </w:r>
      <w:r w:rsidR="00953565" w:rsidRPr="00B8146D">
        <w:rPr>
          <w:rFonts w:asciiTheme="minorHAnsi" w:eastAsia="Times New Roman" w:hAnsiTheme="minorHAnsi" w:cstheme="minorHAnsi"/>
          <w:sz w:val="24"/>
          <w:szCs w:val="24"/>
        </w:rPr>
        <w:t xml:space="preserve"> παρά τις επανειλημμένες και μακρόχρονες προσπάθειες που πάντοτε -και </w:t>
      </w:r>
      <w:proofErr w:type="spellStart"/>
      <w:r w:rsidR="00953565" w:rsidRPr="00B8146D">
        <w:rPr>
          <w:rFonts w:asciiTheme="minorHAnsi" w:eastAsia="Times New Roman" w:hAnsiTheme="minorHAnsi" w:cstheme="minorHAnsi"/>
          <w:sz w:val="24"/>
          <w:szCs w:val="24"/>
        </w:rPr>
        <w:t>καθ’υπέρβαση</w:t>
      </w:r>
      <w:proofErr w:type="spellEnd"/>
      <w:r w:rsidR="00953565" w:rsidRPr="00B8146D">
        <w:rPr>
          <w:rFonts w:asciiTheme="minorHAnsi" w:eastAsia="Times New Roman" w:hAnsiTheme="minorHAnsi" w:cstheme="minorHAnsi"/>
          <w:sz w:val="24"/>
          <w:szCs w:val="24"/>
        </w:rPr>
        <w:t xml:space="preserve"> κάθε ρυθμιστικής υποχρέωσης- καταβάλλονται από τα μέλη της ΕΕΔΑΔΠ στην κατεύθυνση αυτή. </w:t>
      </w:r>
      <w:r w:rsidR="00225005">
        <w:rPr>
          <w:rFonts w:asciiTheme="minorHAnsi" w:eastAsia="Times New Roman" w:hAnsiTheme="minorHAnsi" w:cstheme="minorHAnsi"/>
          <w:sz w:val="24"/>
          <w:szCs w:val="24"/>
        </w:rPr>
        <w:t>Υπενθυμίζεται</w:t>
      </w:r>
      <w:r w:rsidR="00EB5C6B">
        <w:rPr>
          <w:rFonts w:asciiTheme="minorHAnsi" w:eastAsia="Times New Roman" w:hAnsiTheme="minorHAnsi" w:cstheme="minorHAnsi"/>
          <w:sz w:val="24"/>
          <w:szCs w:val="24"/>
        </w:rPr>
        <w:t xml:space="preserve"> ότι δεν μπορεί να εκκινήσει καμία διαδικασία αναγκαστικής είσπραξης, </w:t>
      </w:r>
      <w:r w:rsidR="00225005">
        <w:rPr>
          <w:rFonts w:asciiTheme="minorHAnsi" w:eastAsia="Times New Roman" w:hAnsiTheme="minorHAnsi" w:cstheme="minorHAnsi"/>
          <w:sz w:val="24"/>
          <w:szCs w:val="24"/>
        </w:rPr>
        <w:t>εάν</w:t>
      </w:r>
      <w:r w:rsidR="00EB5C6B">
        <w:rPr>
          <w:rFonts w:asciiTheme="minorHAnsi" w:eastAsia="Times New Roman" w:hAnsiTheme="minorHAnsi" w:cstheme="minorHAnsi"/>
          <w:sz w:val="24"/>
          <w:szCs w:val="24"/>
        </w:rPr>
        <w:t xml:space="preserve"> προηγουμένως ο οφειλέτης </w:t>
      </w:r>
      <w:r w:rsidR="00225005">
        <w:rPr>
          <w:rFonts w:asciiTheme="minorHAnsi" w:eastAsia="Times New Roman" w:hAnsiTheme="minorHAnsi" w:cstheme="minorHAnsi"/>
          <w:sz w:val="24"/>
          <w:szCs w:val="24"/>
        </w:rPr>
        <w:t>δεν έχει κληθεί</w:t>
      </w:r>
      <w:r w:rsidR="00EB5C6B">
        <w:rPr>
          <w:rFonts w:asciiTheme="minorHAnsi" w:eastAsia="Times New Roman" w:hAnsiTheme="minorHAnsi" w:cstheme="minorHAnsi"/>
          <w:sz w:val="24"/>
          <w:szCs w:val="24"/>
        </w:rPr>
        <w:t xml:space="preserve"> να ρυθμίσει συμβιβαστικά τις οφειλές του. </w:t>
      </w:r>
      <w:r w:rsidR="00166DED">
        <w:rPr>
          <w:rFonts w:asciiTheme="minorHAnsi" w:eastAsia="Times New Roman" w:hAnsiTheme="minorHAnsi" w:cstheme="minorHAnsi"/>
          <w:sz w:val="24"/>
          <w:szCs w:val="24"/>
        </w:rPr>
        <w:t>Ο κλάδος είναι από τους πλέον δεσμευτικά ρυθμιζόμενους στην οικονομία και εποπτεύεται διαρκώς από την Τράπεζα της Ελλάδ</w:t>
      </w:r>
      <w:r w:rsidR="00076C8D">
        <w:rPr>
          <w:rFonts w:asciiTheme="minorHAnsi" w:eastAsia="Times New Roman" w:hAnsiTheme="minorHAnsi" w:cstheme="minorHAnsi"/>
          <w:sz w:val="24"/>
          <w:szCs w:val="24"/>
        </w:rPr>
        <w:t>α</w:t>
      </w:r>
      <w:r w:rsidR="00166DED">
        <w:rPr>
          <w:rFonts w:asciiTheme="minorHAnsi" w:eastAsia="Times New Roman" w:hAnsiTheme="minorHAnsi" w:cstheme="minorHAnsi"/>
          <w:sz w:val="24"/>
          <w:szCs w:val="24"/>
        </w:rPr>
        <w:t xml:space="preserve">ς, από την οποία τα μέλη της ΕΕΔΑΔΠ έχουν </w:t>
      </w:r>
      <w:proofErr w:type="spellStart"/>
      <w:r w:rsidR="002A6B71">
        <w:rPr>
          <w:rFonts w:asciiTheme="minorHAnsi" w:eastAsia="Times New Roman" w:hAnsiTheme="minorHAnsi" w:cstheme="minorHAnsi"/>
          <w:sz w:val="24"/>
          <w:szCs w:val="24"/>
        </w:rPr>
        <w:t>αδειοδοτηθεί</w:t>
      </w:r>
      <w:proofErr w:type="spellEnd"/>
      <w:r w:rsidR="002A6B71">
        <w:rPr>
          <w:rFonts w:asciiTheme="minorHAnsi" w:eastAsia="Times New Roman" w:hAnsiTheme="minorHAnsi" w:cstheme="minorHAnsi"/>
          <w:sz w:val="24"/>
          <w:szCs w:val="24"/>
        </w:rPr>
        <w:t xml:space="preserve"> για την άσκηση αυτής και μόνον της δραστηριότητας</w:t>
      </w:r>
      <w:bookmarkStart w:id="1" w:name="_Hlk127314003"/>
      <w:r w:rsidR="002A6B71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 w:rsidR="00EB5C6B">
        <w:rPr>
          <w:rFonts w:asciiTheme="minorHAnsi" w:eastAsia="Times New Roman" w:hAnsiTheme="minorHAnsi" w:cstheme="minorHAnsi"/>
          <w:sz w:val="24"/>
          <w:szCs w:val="24"/>
        </w:rPr>
        <w:t xml:space="preserve">Η κλήση του οφειλέτη </w:t>
      </w:r>
      <w:r w:rsidR="002A6B71">
        <w:rPr>
          <w:rFonts w:asciiTheme="minorHAnsi" w:eastAsia="Times New Roman" w:hAnsiTheme="minorHAnsi" w:cstheme="minorHAnsi"/>
          <w:sz w:val="24"/>
          <w:szCs w:val="24"/>
        </w:rPr>
        <w:t>προς</w:t>
      </w:r>
      <w:r w:rsidR="00EB5C6B">
        <w:rPr>
          <w:rFonts w:asciiTheme="minorHAnsi" w:eastAsia="Times New Roman" w:hAnsiTheme="minorHAnsi" w:cstheme="minorHAnsi"/>
          <w:sz w:val="24"/>
          <w:szCs w:val="24"/>
        </w:rPr>
        <w:t xml:space="preserve"> ρύθμιση </w:t>
      </w:r>
      <w:r w:rsidR="00225005">
        <w:rPr>
          <w:rFonts w:asciiTheme="minorHAnsi" w:eastAsia="Times New Roman" w:hAnsiTheme="minorHAnsi" w:cstheme="minorHAnsi"/>
          <w:sz w:val="24"/>
          <w:szCs w:val="24"/>
        </w:rPr>
        <w:t>διασφαλίζεται σε κάθε περίπτωση</w:t>
      </w:r>
      <w:r w:rsidR="00EB5C6B">
        <w:rPr>
          <w:rFonts w:asciiTheme="minorHAnsi" w:eastAsia="Times New Roman" w:hAnsiTheme="minorHAnsi" w:cstheme="minorHAnsi"/>
          <w:sz w:val="24"/>
          <w:szCs w:val="24"/>
        </w:rPr>
        <w:t xml:space="preserve"> στο πλαίσιο του Κώδικα Δεοντολογίας της Τράπεζας της Ελλάδ</w:t>
      </w:r>
      <w:r w:rsidR="00076C8D">
        <w:rPr>
          <w:rFonts w:asciiTheme="minorHAnsi" w:eastAsia="Times New Roman" w:hAnsiTheme="minorHAnsi" w:cstheme="minorHAnsi"/>
          <w:sz w:val="24"/>
          <w:szCs w:val="24"/>
        </w:rPr>
        <w:t>α</w:t>
      </w:r>
      <w:r w:rsidR="00EB5C6B">
        <w:rPr>
          <w:rFonts w:asciiTheme="minorHAnsi" w:eastAsia="Times New Roman" w:hAnsiTheme="minorHAnsi" w:cstheme="minorHAnsi"/>
          <w:sz w:val="24"/>
          <w:szCs w:val="24"/>
        </w:rPr>
        <w:t>ς</w:t>
      </w:r>
      <w:r w:rsidR="00EB5C6B" w:rsidRPr="003F4AB3">
        <w:rPr>
          <w:rFonts w:asciiTheme="minorHAnsi" w:eastAsia="Times New Roman" w:hAnsiTheme="minorHAnsi" w:cstheme="minorHAnsi"/>
          <w:sz w:val="24"/>
          <w:szCs w:val="24"/>
        </w:rPr>
        <w:t xml:space="preserve"> για τη διαχείριση των μη εξυπηρετούμενων ιδιωτικών οφειλών</w:t>
      </w:r>
      <w:r w:rsidR="00225005">
        <w:rPr>
          <w:rFonts w:asciiTheme="minorHAnsi" w:eastAsia="Times New Roman" w:hAnsiTheme="minorHAnsi" w:cstheme="minorHAnsi"/>
          <w:sz w:val="24"/>
          <w:szCs w:val="24"/>
        </w:rPr>
        <w:t>, αλλά στο πλαίσιο των πολιτικών διαχείρισης που εφαρμόζουν οι Εταιρείες Διαχείρισης</w:t>
      </w:r>
      <w:r w:rsidR="00EB5C6B">
        <w:rPr>
          <w:rFonts w:asciiTheme="minorHAnsi" w:eastAsia="Times New Roman" w:hAnsiTheme="minorHAnsi" w:cstheme="minorHAnsi"/>
          <w:sz w:val="24"/>
          <w:szCs w:val="24"/>
        </w:rPr>
        <w:t>.</w:t>
      </w:r>
      <w:r w:rsidR="00225005">
        <w:rPr>
          <w:rFonts w:asciiTheme="minorHAnsi" w:eastAsia="Times New Roman" w:hAnsiTheme="minorHAnsi" w:cstheme="minorHAnsi"/>
          <w:sz w:val="24"/>
          <w:szCs w:val="24"/>
        </w:rPr>
        <w:t xml:space="preserve"> Οι ανωτέρω πολιτικές αποτελούν αντικείμενο ελέγχου από τις αρμόδιες αρχές του χρηματοπιστωτικού τομέα. </w:t>
      </w:r>
      <w:r w:rsidR="00F032B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bookmarkEnd w:id="1"/>
    <w:p w14:paraId="434A8479" w14:textId="77777777" w:rsidR="00556FD4" w:rsidRDefault="00556FD4" w:rsidP="003A2760">
      <w:pPr>
        <w:tabs>
          <w:tab w:val="left" w:pos="3520"/>
        </w:tabs>
        <w:spacing w:after="0" w:line="276" w:lineRule="auto"/>
        <w:ind w:left="-270" w:right="-45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2EC9C173" w14:textId="143FF6B9" w:rsidR="00556FD4" w:rsidRDefault="00166DED" w:rsidP="00437576">
      <w:pPr>
        <w:tabs>
          <w:tab w:val="left" w:pos="3520"/>
        </w:tabs>
        <w:spacing w:after="0" w:line="276" w:lineRule="auto"/>
        <w:ind w:left="-270" w:right="-45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Ανεξάρτητα από την ανωτέρω διαδικασία, οι Εταιρείες Διαχείρισης παρέχουν πλήθος δυνατοτήτων ρύθμισης σε οποιοδήποτε οφειλέτη επιθυμεί να ρυθμίσει με βιώσιμους όρους την οφειλή του.</w:t>
      </w:r>
      <w:r w:rsidR="00076C8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290C1E" w:rsidRPr="00076C8D">
        <w:rPr>
          <w:rFonts w:asciiTheme="minorHAnsi" w:eastAsia="Times New Roman" w:hAnsiTheme="minorHAnsi" w:cstheme="minorHAnsi"/>
          <w:sz w:val="24"/>
          <w:szCs w:val="24"/>
        </w:rPr>
        <w:t>Καλούν</w:t>
      </w:r>
      <w:r w:rsidR="00953565" w:rsidRPr="00076C8D">
        <w:rPr>
          <w:rFonts w:asciiTheme="minorHAnsi" w:eastAsia="Times New Roman" w:hAnsiTheme="minorHAnsi" w:cstheme="minorHAnsi"/>
          <w:sz w:val="24"/>
          <w:szCs w:val="24"/>
        </w:rPr>
        <w:t>ται</w:t>
      </w:r>
      <w:r w:rsidR="00290C1E" w:rsidRPr="00076C8D">
        <w:rPr>
          <w:rFonts w:asciiTheme="minorHAnsi" w:eastAsia="Times New Roman" w:hAnsiTheme="minorHAnsi" w:cstheme="minorHAnsi"/>
          <w:sz w:val="24"/>
          <w:szCs w:val="24"/>
        </w:rPr>
        <w:t xml:space="preserve">, επομένως, </w:t>
      </w:r>
      <w:r w:rsidR="00953565" w:rsidRPr="00076C8D">
        <w:rPr>
          <w:rFonts w:asciiTheme="minorHAnsi" w:eastAsia="Times New Roman" w:hAnsiTheme="minorHAnsi" w:cstheme="minorHAnsi"/>
          <w:sz w:val="24"/>
          <w:szCs w:val="24"/>
        </w:rPr>
        <w:t>οι</w:t>
      </w:r>
      <w:r w:rsidR="00290C1E" w:rsidRPr="00076C8D">
        <w:rPr>
          <w:rFonts w:asciiTheme="minorHAnsi" w:eastAsia="Times New Roman" w:hAnsiTheme="minorHAnsi" w:cstheme="minorHAnsi"/>
          <w:sz w:val="24"/>
          <w:szCs w:val="24"/>
        </w:rPr>
        <w:t xml:space="preserve"> δανειολήπτες που έχουν εκκρεμείς</w:t>
      </w:r>
      <w:r w:rsidR="002D4567" w:rsidRPr="00076C8D">
        <w:rPr>
          <w:rFonts w:asciiTheme="minorHAnsi" w:eastAsia="Times New Roman" w:hAnsiTheme="minorHAnsi" w:cstheme="minorHAnsi"/>
          <w:sz w:val="24"/>
          <w:szCs w:val="24"/>
        </w:rPr>
        <w:t xml:space="preserve"> οφειλές να απευθυνθούν </w:t>
      </w:r>
      <w:r w:rsidR="0004594F" w:rsidRPr="00076C8D">
        <w:rPr>
          <w:rFonts w:asciiTheme="minorHAnsi" w:eastAsia="Times New Roman" w:hAnsiTheme="minorHAnsi" w:cstheme="minorHAnsi"/>
          <w:sz w:val="24"/>
          <w:szCs w:val="24"/>
        </w:rPr>
        <w:t xml:space="preserve">στην </w:t>
      </w:r>
      <w:r w:rsidR="008A3C2E">
        <w:rPr>
          <w:rFonts w:asciiTheme="minorHAnsi" w:eastAsia="Times New Roman" w:hAnsiTheme="minorHAnsi" w:cstheme="minorHAnsi"/>
          <w:sz w:val="24"/>
          <w:szCs w:val="24"/>
        </w:rPr>
        <w:t>Εταιρεία Διαχείρισης</w:t>
      </w:r>
      <w:r w:rsidR="0004594F" w:rsidRPr="00076C8D">
        <w:rPr>
          <w:rFonts w:asciiTheme="minorHAnsi" w:eastAsia="Times New Roman" w:hAnsiTheme="minorHAnsi" w:cstheme="minorHAnsi"/>
          <w:sz w:val="24"/>
          <w:szCs w:val="24"/>
        </w:rPr>
        <w:t xml:space="preserve"> που διαχειρίζεται το δάνειό </w:t>
      </w:r>
      <w:r w:rsidR="00953565" w:rsidRPr="00076C8D">
        <w:rPr>
          <w:rFonts w:asciiTheme="minorHAnsi" w:eastAsia="Times New Roman" w:hAnsiTheme="minorHAnsi" w:cstheme="minorHAnsi"/>
          <w:sz w:val="24"/>
          <w:szCs w:val="24"/>
        </w:rPr>
        <w:t xml:space="preserve">τους, </w:t>
      </w:r>
      <w:r w:rsidR="0062290B" w:rsidRPr="00076C8D">
        <w:rPr>
          <w:rFonts w:asciiTheme="minorHAnsi" w:eastAsia="Times New Roman" w:hAnsiTheme="minorHAnsi" w:cstheme="minorHAnsi"/>
          <w:sz w:val="24"/>
          <w:szCs w:val="24"/>
        </w:rPr>
        <w:t xml:space="preserve">σε όποιο στάδιο και εάν βρίσκεται η υπόθεσή τους, ακόμη και εάν έχουν εκκινήσει οι διαδικασίες αναγκαστικής εκτέλεσης, ή ακόμη και εάν επίκειται </w:t>
      </w:r>
      <w:r w:rsidR="006F324A" w:rsidRPr="00076C8D">
        <w:rPr>
          <w:rFonts w:asciiTheme="minorHAnsi" w:eastAsia="Times New Roman" w:hAnsiTheme="minorHAnsi" w:cstheme="minorHAnsi"/>
          <w:sz w:val="24"/>
          <w:szCs w:val="24"/>
        </w:rPr>
        <w:t xml:space="preserve">πλειστηριασμός ακινήτου, με τη </w:t>
      </w:r>
      <w:r w:rsidR="00D13964" w:rsidRPr="00076C8D">
        <w:rPr>
          <w:rFonts w:asciiTheme="minorHAnsi" w:eastAsia="Times New Roman" w:hAnsiTheme="minorHAnsi" w:cstheme="minorHAnsi"/>
          <w:sz w:val="24"/>
          <w:szCs w:val="24"/>
        </w:rPr>
        <w:t>διαβεβαίωση ότι οι Εταιρ</w:t>
      </w:r>
      <w:r w:rsidR="008A3C2E">
        <w:rPr>
          <w:rFonts w:asciiTheme="minorHAnsi" w:eastAsia="Times New Roman" w:hAnsiTheme="minorHAnsi" w:cstheme="minorHAnsi"/>
          <w:sz w:val="24"/>
          <w:szCs w:val="24"/>
        </w:rPr>
        <w:t>ε</w:t>
      </w:r>
      <w:r w:rsidR="00D13964" w:rsidRPr="00076C8D">
        <w:rPr>
          <w:rFonts w:asciiTheme="minorHAnsi" w:eastAsia="Times New Roman" w:hAnsiTheme="minorHAnsi" w:cstheme="minorHAnsi"/>
          <w:sz w:val="24"/>
          <w:szCs w:val="24"/>
        </w:rPr>
        <w:t xml:space="preserve">ίες Διαχείρισης Δανείων </w:t>
      </w:r>
      <w:r w:rsidR="007D7989">
        <w:rPr>
          <w:rFonts w:asciiTheme="minorHAnsi" w:eastAsia="Times New Roman" w:hAnsiTheme="minorHAnsi" w:cstheme="minorHAnsi"/>
          <w:sz w:val="24"/>
          <w:szCs w:val="24"/>
        </w:rPr>
        <w:t>εστιάζουν σ</w:t>
      </w:r>
      <w:r w:rsidR="00D13964" w:rsidRPr="00076C8D">
        <w:rPr>
          <w:rFonts w:asciiTheme="minorHAnsi" w:eastAsia="Times New Roman" w:hAnsiTheme="minorHAnsi" w:cstheme="minorHAnsi"/>
          <w:sz w:val="24"/>
          <w:szCs w:val="24"/>
        </w:rPr>
        <w:t>τη</w:t>
      </w:r>
      <w:r w:rsidR="0068374A" w:rsidRPr="00076C8D">
        <w:rPr>
          <w:rFonts w:asciiTheme="minorHAnsi" w:eastAsia="Times New Roman" w:hAnsiTheme="minorHAnsi" w:cstheme="minorHAnsi"/>
          <w:sz w:val="24"/>
          <w:szCs w:val="24"/>
        </w:rPr>
        <w:t xml:space="preserve"> συναινετική επίλυση της υπόθεσης, με τρόπο που θα λαμβάνει υπόψη τα οικονομικά και κοινωνικά δεδομένα για κάθε οφειλέτη ξεχωριστά και με τρόπο που θα </w:t>
      </w:r>
      <w:r w:rsidR="00BE1F8D" w:rsidRPr="00076C8D">
        <w:rPr>
          <w:rFonts w:asciiTheme="minorHAnsi" w:eastAsia="Times New Roman" w:hAnsiTheme="minorHAnsi" w:cstheme="minorHAnsi"/>
          <w:sz w:val="24"/>
          <w:szCs w:val="24"/>
        </w:rPr>
        <w:t>συνάδει με</w:t>
      </w:r>
      <w:r w:rsidR="0068374A" w:rsidRPr="00076C8D">
        <w:rPr>
          <w:rFonts w:asciiTheme="minorHAnsi" w:eastAsia="Times New Roman" w:hAnsiTheme="minorHAnsi" w:cstheme="minorHAnsi"/>
          <w:sz w:val="24"/>
          <w:szCs w:val="24"/>
        </w:rPr>
        <w:t xml:space="preserve"> τη </w:t>
      </w:r>
      <w:r w:rsidR="002A0F3B" w:rsidRPr="00076C8D">
        <w:rPr>
          <w:rFonts w:asciiTheme="minorHAnsi" w:eastAsia="Times New Roman" w:hAnsiTheme="minorHAnsi" w:cstheme="minorHAnsi"/>
          <w:sz w:val="24"/>
          <w:szCs w:val="24"/>
        </w:rPr>
        <w:t>μακροπρόθεσμη δυνατότητά του να εξυπηρετεί τη συμφωνημένη ρύθμιση</w:t>
      </w:r>
      <w:r w:rsidR="004C673B">
        <w:rPr>
          <w:rFonts w:asciiTheme="minorHAnsi" w:eastAsia="Times New Roman" w:hAnsiTheme="minorHAnsi" w:cstheme="minorHAnsi"/>
          <w:sz w:val="24"/>
          <w:szCs w:val="24"/>
        </w:rPr>
        <w:t xml:space="preserve"> και λαμβάνοντας φυσικά υπόψη και τις εγκεκριμένες πιστωτικές πολιτικές από τους επενδυτές </w:t>
      </w:r>
      <w:r w:rsidR="00E50BF4">
        <w:rPr>
          <w:rFonts w:asciiTheme="minorHAnsi" w:eastAsia="Times New Roman" w:hAnsiTheme="minorHAnsi" w:cstheme="minorHAnsi"/>
          <w:sz w:val="24"/>
          <w:szCs w:val="24"/>
        </w:rPr>
        <w:t>(ιδιοκτήτες των χαρτοφυλακίων)</w:t>
      </w:r>
      <w:r w:rsidR="002A0F3B" w:rsidRPr="00076C8D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 w:rsidR="00BE1F8D" w:rsidRPr="00076C8D">
        <w:rPr>
          <w:rFonts w:asciiTheme="minorHAnsi" w:eastAsia="Times New Roman" w:hAnsiTheme="minorHAnsi" w:cstheme="minorHAnsi"/>
          <w:sz w:val="24"/>
          <w:szCs w:val="24"/>
        </w:rPr>
        <w:t xml:space="preserve">Είναι αυτονόητο ότι σε περίπτωση συμφωνίας για συναινετική </w:t>
      </w:r>
      <w:r w:rsidR="005A7EC7" w:rsidRPr="00076C8D">
        <w:rPr>
          <w:rFonts w:asciiTheme="minorHAnsi" w:eastAsia="Times New Roman" w:hAnsiTheme="minorHAnsi" w:cstheme="minorHAnsi"/>
          <w:sz w:val="24"/>
          <w:szCs w:val="24"/>
        </w:rPr>
        <w:t>επίλυση, οι Εταιρ</w:t>
      </w:r>
      <w:r w:rsidR="008A3C2E">
        <w:rPr>
          <w:rFonts w:asciiTheme="minorHAnsi" w:eastAsia="Times New Roman" w:hAnsiTheme="minorHAnsi" w:cstheme="minorHAnsi"/>
          <w:sz w:val="24"/>
          <w:szCs w:val="24"/>
        </w:rPr>
        <w:t>ε</w:t>
      </w:r>
      <w:r w:rsidR="005A7EC7" w:rsidRPr="00076C8D">
        <w:rPr>
          <w:rFonts w:asciiTheme="minorHAnsi" w:eastAsia="Times New Roman" w:hAnsiTheme="minorHAnsi" w:cstheme="minorHAnsi"/>
          <w:sz w:val="24"/>
          <w:szCs w:val="24"/>
        </w:rPr>
        <w:t>ίες Διαχείρισης αναστέλλουν αμέσως τις ενέργειες αναγκαστικής εκτέλεσης, σε οποιοδήποτε στάδιο και εάν βρίσκονται.</w:t>
      </w:r>
    </w:p>
    <w:p w14:paraId="177532D8" w14:textId="77777777" w:rsidR="00556FD4" w:rsidRDefault="00556FD4" w:rsidP="003A2760">
      <w:pPr>
        <w:tabs>
          <w:tab w:val="left" w:pos="3520"/>
        </w:tabs>
        <w:spacing w:after="0" w:line="276" w:lineRule="auto"/>
        <w:ind w:left="-270" w:right="-45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9A52FCA" w14:textId="625F0B96" w:rsidR="00E80B75" w:rsidRDefault="00556FD4" w:rsidP="003A2760">
      <w:pPr>
        <w:tabs>
          <w:tab w:val="left" w:pos="3520"/>
        </w:tabs>
        <w:spacing w:after="0" w:line="276" w:lineRule="auto"/>
        <w:ind w:left="-270" w:right="-45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Ιδια</w:t>
      </w:r>
      <w:r w:rsidR="00873BE7">
        <w:rPr>
          <w:rFonts w:asciiTheme="minorHAnsi" w:eastAsia="Times New Roman" w:hAnsiTheme="minorHAnsi" w:cstheme="minorHAnsi"/>
          <w:sz w:val="24"/>
          <w:szCs w:val="24"/>
        </w:rPr>
        <w:t>ίτερα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για τις</w:t>
      </w:r>
      <w:r w:rsidR="003B7F75" w:rsidRPr="00556FD4">
        <w:rPr>
          <w:rFonts w:asciiTheme="minorHAnsi" w:eastAsia="Times New Roman" w:hAnsiTheme="minorHAnsi" w:cstheme="minorHAnsi"/>
          <w:sz w:val="24"/>
          <w:szCs w:val="24"/>
        </w:rPr>
        <w:t xml:space="preserve"> επιχειρήσεις,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οι διμερείς ρυθμίσεις </w:t>
      </w:r>
      <w:r w:rsidR="003B7F75" w:rsidRPr="00556FD4">
        <w:rPr>
          <w:rFonts w:asciiTheme="minorHAnsi" w:eastAsia="Times New Roman" w:hAnsiTheme="minorHAnsi" w:cstheme="minorHAnsi"/>
          <w:b/>
          <w:bCs/>
          <w:sz w:val="24"/>
          <w:szCs w:val="24"/>
        </w:rPr>
        <w:t>προσφέρουν μία πραγματικ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ή</w:t>
      </w:r>
      <w:r w:rsidR="003B7F75" w:rsidRPr="00556FD4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δεύτερη ευκαιρία για βιώσιμη ανάπτυξη</w:t>
      </w:r>
      <w:r w:rsidR="00E80B75">
        <w:rPr>
          <w:rFonts w:asciiTheme="minorHAnsi" w:eastAsia="Times New Roman" w:hAnsiTheme="minorHAnsi" w:cstheme="minorHAnsi"/>
          <w:b/>
          <w:bCs/>
          <w:sz w:val="24"/>
          <w:szCs w:val="24"/>
        </w:rPr>
        <w:t>,</w:t>
      </w:r>
      <w:r w:rsidR="003B7F75" w:rsidRPr="00556FD4">
        <w:rPr>
          <w:rFonts w:asciiTheme="minorHAnsi" w:eastAsia="Times New Roman" w:hAnsiTheme="minorHAnsi" w:cstheme="minorHAnsi"/>
          <w:sz w:val="24"/>
          <w:szCs w:val="24"/>
        </w:rPr>
        <w:t xml:space="preserve"> με αναδιαρθρώσεις που δεν εξαντλούν την κερδοφορία (EBITDA) για αποπληρωμή των δανείων, αλλά επιτρέπουν την αξιοποίησή της ως κεφάλαιο κίνησης. Επίσης, </w:t>
      </w:r>
      <w:r w:rsidR="009962BB">
        <w:rPr>
          <w:rFonts w:asciiTheme="minorHAnsi" w:eastAsia="Times New Roman" w:hAnsiTheme="minorHAnsi" w:cstheme="minorHAnsi"/>
          <w:sz w:val="24"/>
          <w:szCs w:val="24"/>
        </w:rPr>
        <w:t>οι Εταιρ</w:t>
      </w:r>
      <w:r w:rsidR="008A3C2E">
        <w:rPr>
          <w:rFonts w:asciiTheme="minorHAnsi" w:eastAsia="Times New Roman" w:hAnsiTheme="minorHAnsi" w:cstheme="minorHAnsi"/>
          <w:sz w:val="24"/>
          <w:szCs w:val="24"/>
        </w:rPr>
        <w:t>ε</w:t>
      </w:r>
      <w:r w:rsidR="009962BB">
        <w:rPr>
          <w:rFonts w:asciiTheme="minorHAnsi" w:eastAsia="Times New Roman" w:hAnsiTheme="minorHAnsi" w:cstheme="minorHAnsi"/>
          <w:sz w:val="24"/>
          <w:szCs w:val="24"/>
        </w:rPr>
        <w:t xml:space="preserve">ίες Διαχείρισης </w:t>
      </w:r>
      <w:r w:rsidR="003B7F75" w:rsidRPr="00556FD4">
        <w:rPr>
          <w:rFonts w:asciiTheme="minorHAnsi" w:eastAsia="Times New Roman" w:hAnsiTheme="minorHAnsi" w:cstheme="minorHAnsi"/>
          <w:sz w:val="24"/>
          <w:szCs w:val="24"/>
        </w:rPr>
        <w:t>παρέχουν συμβουλευτικές υπηρεσίες για την ένταξη των επιχειρήσεων</w:t>
      </w:r>
      <w:r w:rsidR="003B7E8A">
        <w:rPr>
          <w:rFonts w:asciiTheme="minorHAnsi" w:eastAsia="Times New Roman" w:hAnsiTheme="minorHAnsi" w:cstheme="minorHAnsi"/>
          <w:sz w:val="24"/>
          <w:szCs w:val="24"/>
        </w:rPr>
        <w:t xml:space="preserve"> που εξυγιαίνονται</w:t>
      </w:r>
      <w:r w:rsidR="003B7F75" w:rsidRPr="00556FD4">
        <w:rPr>
          <w:rFonts w:asciiTheme="minorHAnsi" w:eastAsia="Times New Roman" w:hAnsiTheme="minorHAnsi" w:cstheme="minorHAnsi"/>
          <w:sz w:val="24"/>
          <w:szCs w:val="24"/>
        </w:rPr>
        <w:t xml:space="preserve"> σε όλα τα διαθέσιμα εθνικά και ευρωπαϊκά προγράμματα επιδοτήσεων και χρηματοδότησης (ΕΣΠΑ, Ταμείο Ανάκαμψης κ.ά.).</w:t>
      </w:r>
    </w:p>
    <w:p w14:paraId="6B11602C" w14:textId="77777777" w:rsidR="00E80B75" w:rsidRDefault="00E80B75" w:rsidP="003A2760">
      <w:pPr>
        <w:tabs>
          <w:tab w:val="left" w:pos="3520"/>
        </w:tabs>
        <w:spacing w:after="0" w:line="276" w:lineRule="auto"/>
        <w:ind w:left="-270" w:right="-45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2DCF0B0F" w14:textId="51274866" w:rsidR="005A7EC7" w:rsidRPr="00E80B75" w:rsidRDefault="0078635E" w:rsidP="003A2760">
      <w:pPr>
        <w:tabs>
          <w:tab w:val="left" w:pos="3520"/>
        </w:tabs>
        <w:spacing w:after="0" w:line="276" w:lineRule="auto"/>
        <w:ind w:left="-270" w:right="-45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E80B75">
        <w:rPr>
          <w:rFonts w:asciiTheme="minorHAnsi" w:eastAsia="Times New Roman" w:hAnsiTheme="minorHAnsi" w:cstheme="minorHAnsi"/>
          <w:sz w:val="24"/>
          <w:szCs w:val="24"/>
        </w:rPr>
        <w:t xml:space="preserve">Και πέρα όμως από την </w:t>
      </w:r>
      <w:r w:rsidR="000208FF" w:rsidRPr="00E80B75">
        <w:rPr>
          <w:rFonts w:asciiTheme="minorHAnsi" w:eastAsia="Times New Roman" w:hAnsiTheme="minorHAnsi" w:cstheme="minorHAnsi"/>
          <w:sz w:val="24"/>
          <w:szCs w:val="24"/>
        </w:rPr>
        <w:t>βέλτι</w:t>
      </w:r>
      <w:r w:rsidR="00136426" w:rsidRPr="00E80B75">
        <w:rPr>
          <w:rFonts w:asciiTheme="minorHAnsi" w:eastAsia="Times New Roman" w:hAnsiTheme="minorHAnsi" w:cstheme="minorHAnsi"/>
          <w:sz w:val="24"/>
          <w:szCs w:val="24"/>
        </w:rPr>
        <w:t>σ</w:t>
      </w:r>
      <w:r w:rsidR="000208FF" w:rsidRPr="00E80B75">
        <w:rPr>
          <w:rFonts w:asciiTheme="minorHAnsi" w:eastAsia="Times New Roman" w:hAnsiTheme="minorHAnsi" w:cstheme="minorHAnsi"/>
          <w:sz w:val="24"/>
          <w:szCs w:val="24"/>
        </w:rPr>
        <w:t xml:space="preserve">τη </w:t>
      </w:r>
      <w:r w:rsidRPr="00E80B75">
        <w:rPr>
          <w:rFonts w:asciiTheme="minorHAnsi" w:eastAsia="Times New Roman" w:hAnsiTheme="minorHAnsi" w:cstheme="minorHAnsi"/>
          <w:sz w:val="24"/>
          <w:szCs w:val="24"/>
        </w:rPr>
        <w:t>επιλογή τ</w:t>
      </w:r>
      <w:r w:rsidR="007423D7" w:rsidRPr="00E80B75">
        <w:rPr>
          <w:rFonts w:asciiTheme="minorHAnsi" w:eastAsia="Times New Roman" w:hAnsiTheme="minorHAnsi" w:cstheme="minorHAnsi"/>
          <w:sz w:val="24"/>
          <w:szCs w:val="24"/>
        </w:rPr>
        <w:t xml:space="preserve">ης διμερούς συμφωνίας, </w:t>
      </w:r>
      <w:r w:rsidR="000208FF" w:rsidRPr="00E80B75">
        <w:rPr>
          <w:rFonts w:asciiTheme="minorHAnsi" w:eastAsia="Times New Roman" w:hAnsiTheme="minorHAnsi" w:cstheme="minorHAnsi"/>
          <w:sz w:val="24"/>
          <w:szCs w:val="24"/>
        </w:rPr>
        <w:t xml:space="preserve">η Πολιτεία έχει θεσπίσει </w:t>
      </w:r>
      <w:r w:rsidR="00136426" w:rsidRPr="00E80B75">
        <w:rPr>
          <w:rFonts w:asciiTheme="minorHAnsi" w:eastAsia="Times New Roman" w:hAnsiTheme="minorHAnsi" w:cstheme="minorHAnsi"/>
          <w:sz w:val="24"/>
          <w:szCs w:val="24"/>
        </w:rPr>
        <w:t xml:space="preserve">σειρά μηχανισμών και εναλλακτικών λύσεων για κατηγορίες οφειλετών. </w:t>
      </w:r>
    </w:p>
    <w:p w14:paraId="6C240048" w14:textId="77777777" w:rsidR="002D4567" w:rsidRDefault="002D4567" w:rsidP="003A2760">
      <w:pPr>
        <w:pStyle w:val="a4"/>
        <w:spacing w:after="0" w:line="276" w:lineRule="auto"/>
        <w:ind w:left="-270" w:right="-45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546C173B" w14:textId="6F5E6051" w:rsidR="00C16C21" w:rsidRPr="00225005" w:rsidRDefault="00C16C21" w:rsidP="003A2760">
      <w:pPr>
        <w:tabs>
          <w:tab w:val="left" w:pos="3520"/>
        </w:tabs>
        <w:spacing w:after="0" w:line="276" w:lineRule="auto"/>
        <w:ind w:left="-270" w:right="-450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Όσον αφορά ειδικότερα τους </w:t>
      </w:r>
      <w:r w:rsidRPr="003B7E8A">
        <w:rPr>
          <w:rFonts w:asciiTheme="minorHAnsi" w:eastAsia="Times New Roman" w:hAnsiTheme="minorHAnsi" w:cstheme="minorHAnsi"/>
          <w:b/>
          <w:bCs/>
          <w:sz w:val="24"/>
          <w:szCs w:val="24"/>
        </w:rPr>
        <w:t>ευάλωτους δανειολήπτες</w:t>
      </w:r>
      <w:r>
        <w:rPr>
          <w:rFonts w:asciiTheme="minorHAnsi" w:eastAsia="Times New Roman" w:hAnsiTheme="minorHAnsi" w:cstheme="minorHAnsi"/>
          <w:sz w:val="24"/>
          <w:szCs w:val="24"/>
        </w:rPr>
        <w:t>, το</w:t>
      </w:r>
      <w:r w:rsidRPr="005922F6">
        <w:rPr>
          <w:rFonts w:asciiTheme="minorHAnsi" w:eastAsia="Times New Roman" w:hAnsiTheme="minorHAnsi" w:cstheme="minorHAnsi"/>
          <w:sz w:val="24"/>
          <w:szCs w:val="24"/>
        </w:rPr>
        <w:t xml:space="preserve"> Ενδιάμεσο Πρόγραμμα (Ν. 4916/2022)</w:t>
      </w:r>
      <w:r w:rsidR="0022605E">
        <w:rPr>
          <w:rFonts w:asciiTheme="minorHAnsi" w:eastAsia="Times New Roman" w:hAnsiTheme="minorHAnsi" w:cstheme="minorHAnsi"/>
          <w:sz w:val="24"/>
          <w:szCs w:val="24"/>
        </w:rPr>
        <w:t xml:space="preserve"> προσφέρει τις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ακόλουθες δυνατότητες</w:t>
      </w:r>
      <w:r w:rsidRPr="005922F6">
        <w:rPr>
          <w:rFonts w:asciiTheme="minorHAnsi" w:eastAsia="Times New Roman" w:hAnsiTheme="minorHAnsi" w:cstheme="minorHAnsi"/>
          <w:sz w:val="24"/>
          <w:szCs w:val="24"/>
        </w:rPr>
        <w:t>:</w:t>
      </w:r>
    </w:p>
    <w:p w14:paraId="51C4106E" w14:textId="77777777" w:rsidR="00C16C21" w:rsidRPr="00B44993" w:rsidRDefault="00C16C21" w:rsidP="003A2760">
      <w:pPr>
        <w:pStyle w:val="a4"/>
        <w:numPr>
          <w:ilvl w:val="0"/>
          <w:numId w:val="11"/>
        </w:numPr>
        <w:tabs>
          <w:tab w:val="left" w:pos="3520"/>
        </w:tabs>
        <w:spacing w:after="0" w:line="276" w:lineRule="auto"/>
        <w:ind w:right="-45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44993">
        <w:rPr>
          <w:rFonts w:asciiTheme="minorHAnsi" w:eastAsia="Times New Roman" w:hAnsiTheme="minorHAnsi" w:cstheme="minorHAnsi"/>
          <w:sz w:val="24"/>
          <w:szCs w:val="24"/>
        </w:rPr>
        <w:t>Παροχή κρατικής επιδότησης για την πληρωμή της δόσης του στεγαστικού δανείου των ευάλωτων οφειλετών από 70 έως 210 ευρώ μηνιαίως για 15 μήνες.</w:t>
      </w:r>
    </w:p>
    <w:p w14:paraId="69B733F6" w14:textId="78703501" w:rsidR="00C16C21" w:rsidRPr="00B44993" w:rsidRDefault="00C16C21" w:rsidP="003A2760">
      <w:pPr>
        <w:pStyle w:val="a4"/>
        <w:numPr>
          <w:ilvl w:val="0"/>
          <w:numId w:val="11"/>
        </w:numPr>
        <w:tabs>
          <w:tab w:val="left" w:pos="3520"/>
        </w:tabs>
        <w:spacing w:after="0" w:line="276" w:lineRule="auto"/>
        <w:ind w:right="-45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44993">
        <w:rPr>
          <w:rFonts w:asciiTheme="minorHAnsi" w:eastAsia="Times New Roman" w:hAnsiTheme="minorHAnsi" w:cstheme="minorHAnsi"/>
          <w:sz w:val="24"/>
          <w:szCs w:val="24"/>
        </w:rPr>
        <w:t xml:space="preserve">Αναστολή όλων των διαδικασιών αναγκαστικού πλειστηριασμού επί της </w:t>
      </w:r>
      <w:r w:rsidR="00EA6A1F">
        <w:rPr>
          <w:rFonts w:asciiTheme="minorHAnsi" w:eastAsia="Times New Roman" w:hAnsiTheme="minorHAnsi" w:cstheme="minorHAnsi"/>
          <w:sz w:val="24"/>
          <w:szCs w:val="24"/>
        </w:rPr>
        <w:t>πρώτης</w:t>
      </w:r>
      <w:r w:rsidRPr="00B44993">
        <w:rPr>
          <w:rFonts w:asciiTheme="minorHAnsi" w:eastAsia="Times New Roman" w:hAnsiTheme="minorHAnsi" w:cstheme="minorHAnsi"/>
          <w:sz w:val="24"/>
          <w:szCs w:val="24"/>
        </w:rPr>
        <w:t xml:space="preserve"> κατοικίας του ευάλωτου οφειλέτη, για όσο χρόνο ο οφειλέτης έχει υπαχθεί στο Πρόγραμμα και επωφελείται της επιδότησης.</w:t>
      </w:r>
    </w:p>
    <w:p w14:paraId="5E198BAC" w14:textId="40A9A52B" w:rsidR="00D3533D" w:rsidRDefault="00C16C21" w:rsidP="003A2760">
      <w:pPr>
        <w:pStyle w:val="a4"/>
        <w:numPr>
          <w:ilvl w:val="0"/>
          <w:numId w:val="11"/>
        </w:numPr>
        <w:tabs>
          <w:tab w:val="left" w:pos="3520"/>
        </w:tabs>
        <w:spacing w:after="0" w:line="276" w:lineRule="auto"/>
        <w:ind w:right="-45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B44993">
        <w:rPr>
          <w:rFonts w:asciiTheme="minorHAnsi" w:eastAsia="Times New Roman" w:hAnsiTheme="minorHAnsi" w:cstheme="minorHAnsi"/>
          <w:sz w:val="24"/>
          <w:szCs w:val="24"/>
        </w:rPr>
        <w:t>Χρήση των διευκολύνσεων που παρέχει ο</w:t>
      </w:r>
      <w:r w:rsidR="00225005">
        <w:rPr>
          <w:rFonts w:asciiTheme="minorHAnsi" w:eastAsia="Times New Roman" w:hAnsiTheme="minorHAnsi" w:cstheme="minorHAnsi"/>
          <w:sz w:val="24"/>
          <w:szCs w:val="24"/>
        </w:rPr>
        <w:t xml:space="preserve"> υπό σύσταση</w:t>
      </w:r>
      <w:r w:rsidRPr="00B44993">
        <w:rPr>
          <w:rFonts w:asciiTheme="minorHAnsi" w:eastAsia="Times New Roman" w:hAnsiTheme="minorHAnsi" w:cstheme="minorHAnsi"/>
          <w:sz w:val="24"/>
          <w:szCs w:val="24"/>
        </w:rPr>
        <w:t xml:space="preserve"> Φορέας Απόκτησης και </w:t>
      </w:r>
      <w:proofErr w:type="spellStart"/>
      <w:r w:rsidRPr="00B44993">
        <w:rPr>
          <w:rFonts w:asciiTheme="minorHAnsi" w:eastAsia="Times New Roman" w:hAnsiTheme="minorHAnsi" w:cstheme="minorHAnsi"/>
          <w:sz w:val="24"/>
          <w:szCs w:val="24"/>
        </w:rPr>
        <w:t>Επαναμίσθωσης</w:t>
      </w:r>
      <w:proofErr w:type="spellEnd"/>
      <w:r w:rsidRPr="00B44993">
        <w:rPr>
          <w:rFonts w:asciiTheme="minorHAnsi" w:eastAsia="Times New Roman" w:hAnsiTheme="minorHAnsi" w:cstheme="minorHAnsi"/>
          <w:sz w:val="24"/>
          <w:szCs w:val="24"/>
        </w:rPr>
        <w:t>, μέσω του οποίου οι ευάλωτοι οφειλέτες μπορούν να πετύχουν τη διατήρηση της 1ης κατοικίας για δώδεκα (12) έτη μέσω σύμβασης μακροχρόνιας μίσθωσης</w:t>
      </w:r>
      <w:r>
        <w:rPr>
          <w:rFonts w:asciiTheme="minorHAnsi" w:eastAsia="Times New Roman" w:hAnsiTheme="minorHAnsi" w:cstheme="minorHAnsi"/>
          <w:sz w:val="24"/>
          <w:szCs w:val="24"/>
        </w:rPr>
        <w:t>, αλλά και την επαναγορά του ακινήτου μετά τη λήξη της παραπάνω περιόδου</w:t>
      </w:r>
      <w:r w:rsidRPr="00B44993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263288F7" w14:textId="77777777" w:rsidR="00D3533D" w:rsidRDefault="00D3533D" w:rsidP="003A2760">
      <w:pPr>
        <w:pStyle w:val="a4"/>
        <w:tabs>
          <w:tab w:val="left" w:pos="3520"/>
        </w:tabs>
        <w:spacing w:after="0" w:line="276" w:lineRule="auto"/>
        <w:ind w:left="450" w:right="-45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8B15D6A" w14:textId="03DDC034" w:rsidR="00CF6118" w:rsidRPr="00EE236A" w:rsidRDefault="001D4F16" w:rsidP="003A2760">
      <w:pPr>
        <w:tabs>
          <w:tab w:val="left" w:pos="3520"/>
        </w:tabs>
        <w:spacing w:after="0" w:line="276" w:lineRule="auto"/>
        <w:ind w:right="-45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D3533D">
        <w:rPr>
          <w:rFonts w:asciiTheme="minorHAnsi" w:eastAsia="Times New Roman" w:hAnsiTheme="minorHAnsi" w:cstheme="minorHAnsi"/>
          <w:sz w:val="24"/>
          <w:szCs w:val="24"/>
        </w:rPr>
        <w:t>Στο πλαίσιο αυτό, τέθηκε</w:t>
      </w:r>
      <w:r w:rsidR="003F5B31" w:rsidRPr="00D3533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6E0415" w:rsidRPr="00D3533D">
        <w:rPr>
          <w:rFonts w:asciiTheme="minorHAnsi" w:eastAsia="Times New Roman" w:hAnsiTheme="minorHAnsi" w:cstheme="minorHAnsi"/>
          <w:sz w:val="24"/>
          <w:szCs w:val="24"/>
        </w:rPr>
        <w:t>σε λειτουργία από την 1</w:t>
      </w:r>
      <w:r w:rsidR="006E0415" w:rsidRPr="00D3533D">
        <w:rPr>
          <w:rFonts w:asciiTheme="minorHAnsi" w:eastAsia="Times New Roman" w:hAnsiTheme="minorHAnsi" w:cstheme="minorHAnsi"/>
          <w:sz w:val="24"/>
          <w:szCs w:val="24"/>
          <w:vertAlign w:val="superscript"/>
        </w:rPr>
        <w:t>η</w:t>
      </w:r>
      <w:r w:rsidR="006E0415" w:rsidRPr="00D3533D">
        <w:rPr>
          <w:rFonts w:asciiTheme="minorHAnsi" w:eastAsia="Times New Roman" w:hAnsiTheme="minorHAnsi" w:cstheme="minorHAnsi"/>
          <w:sz w:val="24"/>
          <w:szCs w:val="24"/>
        </w:rPr>
        <w:t xml:space="preserve"> Φεβρουαρίου 2023</w:t>
      </w:r>
      <w:r w:rsidRPr="00D3533D">
        <w:rPr>
          <w:rFonts w:asciiTheme="minorHAnsi" w:eastAsia="Times New Roman" w:hAnsiTheme="minorHAnsi" w:cstheme="minorHAnsi"/>
          <w:sz w:val="24"/>
          <w:szCs w:val="24"/>
        </w:rPr>
        <w:t xml:space="preserve"> η πλατφόρμα της Ειδικής Γραμματείας Διαχείρισης Ιδιωτικού Χρέους</w:t>
      </w:r>
      <w:r w:rsidR="003F5B31" w:rsidRPr="00D3533D">
        <w:rPr>
          <w:rFonts w:asciiTheme="minorHAnsi" w:eastAsia="Times New Roman" w:hAnsiTheme="minorHAnsi" w:cstheme="minorHAnsi"/>
          <w:sz w:val="24"/>
          <w:szCs w:val="24"/>
        </w:rPr>
        <w:t xml:space="preserve">, μέσω της οποίας παρέχεται η βεβαίωση ευάλωτου οφειλέτη. Ήδη, </w:t>
      </w:r>
      <w:r w:rsidR="00904C37">
        <w:rPr>
          <w:rFonts w:asciiTheme="minorHAnsi" w:eastAsia="Times New Roman" w:hAnsiTheme="minorHAnsi" w:cstheme="minorHAnsi"/>
          <w:sz w:val="24"/>
          <w:szCs w:val="24"/>
        </w:rPr>
        <w:t>περίπου</w:t>
      </w:r>
      <w:r w:rsidR="00D75F4C" w:rsidRPr="00D3533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246FEF">
        <w:rPr>
          <w:rFonts w:asciiTheme="minorHAnsi" w:eastAsia="Times New Roman" w:hAnsiTheme="minorHAnsi" w:cstheme="minorHAnsi"/>
          <w:sz w:val="24"/>
          <w:szCs w:val="24"/>
        </w:rPr>
        <w:t>15.000</w:t>
      </w:r>
      <w:r w:rsidR="00D75F4C" w:rsidRPr="00D3533D">
        <w:rPr>
          <w:rFonts w:asciiTheme="minorHAnsi" w:eastAsia="Times New Roman" w:hAnsiTheme="minorHAnsi" w:cstheme="minorHAnsi"/>
          <w:sz w:val="24"/>
          <w:szCs w:val="24"/>
        </w:rPr>
        <w:t xml:space="preserve"> οφειλέτες έχουν κάνει χρήση της ηλεκτρονικής πλατφόρμας </w:t>
      </w:r>
      <w:r w:rsidR="00246FEF">
        <w:rPr>
          <w:rFonts w:asciiTheme="minorHAnsi" w:eastAsia="Times New Roman" w:hAnsiTheme="minorHAnsi" w:cstheme="minorHAnsi"/>
          <w:sz w:val="24"/>
          <w:szCs w:val="24"/>
        </w:rPr>
        <w:t>για να λάβουν</w:t>
      </w:r>
      <w:r w:rsidR="00D75F4C" w:rsidRPr="00D3533D">
        <w:rPr>
          <w:rFonts w:asciiTheme="minorHAnsi" w:eastAsia="Times New Roman" w:hAnsiTheme="minorHAnsi" w:cstheme="minorHAnsi"/>
          <w:sz w:val="24"/>
          <w:szCs w:val="24"/>
        </w:rPr>
        <w:t xml:space="preserve"> τη σχετική </w:t>
      </w:r>
      <w:r w:rsidR="00246FEF">
        <w:rPr>
          <w:rFonts w:asciiTheme="minorHAnsi" w:eastAsia="Times New Roman" w:hAnsiTheme="minorHAnsi" w:cstheme="minorHAnsi"/>
          <w:sz w:val="24"/>
          <w:szCs w:val="24"/>
        </w:rPr>
        <w:t>βεβαίωση</w:t>
      </w:r>
      <w:r w:rsidR="00D75F4C" w:rsidRPr="00D3533D">
        <w:rPr>
          <w:rFonts w:asciiTheme="minorHAnsi" w:eastAsia="Times New Roman" w:hAnsiTheme="minorHAnsi" w:cstheme="minorHAnsi"/>
          <w:sz w:val="24"/>
          <w:szCs w:val="24"/>
        </w:rPr>
        <w:t xml:space="preserve"> που αποτελεί το πρώτο βήμα για </w:t>
      </w:r>
      <w:r w:rsidR="00E03F65" w:rsidRPr="00D3533D">
        <w:rPr>
          <w:rFonts w:asciiTheme="minorHAnsi" w:eastAsia="Times New Roman" w:hAnsiTheme="minorHAnsi" w:cstheme="minorHAnsi"/>
          <w:sz w:val="24"/>
          <w:szCs w:val="24"/>
        </w:rPr>
        <w:t xml:space="preserve">να </w:t>
      </w:r>
      <w:r w:rsidR="00E03F65" w:rsidRPr="007755C3">
        <w:rPr>
          <w:rFonts w:asciiTheme="minorHAnsi" w:eastAsia="Times New Roman" w:hAnsiTheme="minorHAnsi" w:cstheme="minorHAnsi"/>
          <w:sz w:val="24"/>
          <w:szCs w:val="24"/>
        </w:rPr>
        <w:t>επωφεληθούν από το Ενδιάμεσο Πρόγραμμα</w:t>
      </w:r>
      <w:r w:rsidR="00E50BF4">
        <w:rPr>
          <w:rFonts w:asciiTheme="minorHAnsi" w:eastAsia="Times New Roman" w:hAnsiTheme="minorHAnsi" w:cstheme="minorHAnsi"/>
          <w:sz w:val="24"/>
          <w:szCs w:val="24"/>
        </w:rPr>
        <w:t xml:space="preserve"> (Ν. 4916/2022)</w:t>
      </w:r>
      <w:r w:rsidR="00E03F65" w:rsidRPr="007755C3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 w:rsidR="0011672F" w:rsidRPr="007755C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Με την </w:t>
      </w:r>
      <w:r w:rsidR="00E50BF4">
        <w:rPr>
          <w:rFonts w:asciiTheme="minorHAnsi" w:eastAsia="Times New Roman" w:hAnsiTheme="minorHAnsi" w:cstheme="minorHAnsi"/>
          <w:b/>
          <w:bCs/>
          <w:sz w:val="24"/>
          <w:szCs w:val="24"/>
        </w:rPr>
        <w:t>υπαγωγή στο Ενδιάμεσο Πρόγραμμα</w:t>
      </w:r>
      <w:r w:rsidR="0011672F" w:rsidRPr="007755C3">
        <w:rPr>
          <w:rFonts w:asciiTheme="minorHAnsi" w:eastAsia="Times New Roman" w:hAnsiTheme="minorHAnsi" w:cstheme="minorHAnsi"/>
          <w:b/>
          <w:bCs/>
          <w:sz w:val="24"/>
          <w:szCs w:val="24"/>
        </w:rPr>
        <w:t>, αναστέλλονται</w:t>
      </w:r>
      <w:r w:rsidR="00E50BF4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αυτόματα</w:t>
      </w:r>
      <w:r w:rsidR="0011672F" w:rsidRPr="007755C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βάσει του</w:t>
      </w:r>
      <w:r w:rsidR="00EC280D" w:rsidRPr="00EC280D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="00EC280D">
        <w:rPr>
          <w:rFonts w:asciiTheme="minorHAnsi" w:eastAsia="Times New Roman" w:hAnsiTheme="minorHAnsi" w:cstheme="minorHAnsi"/>
          <w:b/>
          <w:bCs/>
          <w:sz w:val="24"/>
          <w:szCs w:val="24"/>
        </w:rPr>
        <w:t>σχετικού</w:t>
      </w:r>
      <w:r w:rsidR="0011672F" w:rsidRPr="007755C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νόμου, όλες οι διαδικασίες αναγκαστικής εκτέλεσης, συμπεριλαμβανομένων των πλειστηριασμών, ακόμη και εκείνων που έχουν αναρτηθεί και </w:t>
      </w:r>
      <w:r w:rsidR="00EE236A" w:rsidRPr="007755C3">
        <w:rPr>
          <w:rFonts w:asciiTheme="minorHAnsi" w:eastAsia="Times New Roman" w:hAnsiTheme="minorHAnsi" w:cstheme="minorHAnsi"/>
          <w:b/>
          <w:bCs/>
          <w:sz w:val="24"/>
          <w:szCs w:val="24"/>
        </w:rPr>
        <w:t>προγραμματιστεί προς διεξαγωγή.</w:t>
      </w:r>
      <w:r w:rsidR="00EE236A" w:rsidRPr="00EE236A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</w:p>
    <w:p w14:paraId="7B1065D4" w14:textId="77777777" w:rsidR="00D3533D" w:rsidRDefault="00D3533D" w:rsidP="003A2760">
      <w:pPr>
        <w:spacing w:after="0" w:line="276" w:lineRule="auto"/>
        <w:ind w:right="-45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6914C50D" w14:textId="734C6ED4" w:rsidR="009807AF" w:rsidRPr="006E2846" w:rsidRDefault="009807AF" w:rsidP="009807AF">
      <w:pPr>
        <w:spacing w:after="0" w:line="276" w:lineRule="auto"/>
        <w:ind w:right="-450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E2846">
        <w:rPr>
          <w:rFonts w:asciiTheme="minorHAnsi" w:eastAsia="Times New Roman" w:hAnsiTheme="minorHAnsi" w:cstheme="minorHAnsi"/>
          <w:sz w:val="24"/>
          <w:szCs w:val="24"/>
        </w:rPr>
        <w:t>Εκτός από τις πρόνοιες του Ενδιάμεσου Προγράμματος, οι Εταιρ</w:t>
      </w:r>
      <w:r w:rsidR="008A3C2E">
        <w:rPr>
          <w:rFonts w:asciiTheme="minorHAnsi" w:eastAsia="Times New Roman" w:hAnsiTheme="minorHAnsi" w:cstheme="minorHAnsi"/>
          <w:sz w:val="24"/>
          <w:szCs w:val="24"/>
        </w:rPr>
        <w:t>ε</w:t>
      </w:r>
      <w:r w:rsidRPr="006E2846">
        <w:rPr>
          <w:rFonts w:asciiTheme="minorHAnsi" w:eastAsia="Times New Roman" w:hAnsiTheme="minorHAnsi" w:cstheme="minorHAnsi"/>
          <w:sz w:val="24"/>
          <w:szCs w:val="24"/>
        </w:rPr>
        <w:t>ίες Διαχείρισης Δανείων υλοποιούν ειδικές πολιτικές που επεκτείνονται –πέρα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από όσους</w:t>
      </w:r>
      <w:r w:rsidRPr="006E2846">
        <w:rPr>
          <w:rFonts w:asciiTheme="minorHAnsi" w:eastAsia="Times New Roman" w:hAnsiTheme="minorHAnsi" w:cstheme="minorHAnsi"/>
          <w:sz w:val="24"/>
          <w:szCs w:val="24"/>
        </w:rPr>
        <w:t xml:space="preserve"> έχουν ενταχθεί σε καθεστώς προστασίας– και σε άλλες ευαίσθητες κοινωνικές ομάδες όπως όσοι αντιμετωπίζουν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ατομικά ή οικογενειακά </w:t>
      </w:r>
      <w:r w:rsidRPr="006E2846">
        <w:rPr>
          <w:rFonts w:asciiTheme="minorHAnsi" w:eastAsia="Times New Roman" w:hAnsiTheme="minorHAnsi" w:cstheme="minorHAnsi"/>
          <w:sz w:val="24"/>
          <w:szCs w:val="24"/>
        </w:rPr>
        <w:t xml:space="preserve">προβλήματα υγείας, οι ηλικιωμένοι και οι άνεργοι. </w:t>
      </w:r>
    </w:p>
    <w:p w14:paraId="114C304F" w14:textId="77777777" w:rsidR="00743081" w:rsidRPr="007755C3" w:rsidRDefault="00743081" w:rsidP="007755C3">
      <w:pPr>
        <w:spacing w:after="0" w:line="276" w:lineRule="auto"/>
        <w:ind w:right="-45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5D4655CF" w14:textId="3B152F2F" w:rsidR="009807AF" w:rsidRPr="009807AF" w:rsidRDefault="009807AF" w:rsidP="00EC280D">
      <w:pPr>
        <w:pStyle w:val="a4"/>
        <w:spacing w:after="0" w:line="276" w:lineRule="auto"/>
        <w:ind w:left="0" w:right="-45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9807AF">
        <w:rPr>
          <w:rFonts w:asciiTheme="minorHAnsi" w:eastAsia="Times New Roman" w:hAnsiTheme="minorHAnsi" w:cstheme="minorHAnsi"/>
          <w:sz w:val="24"/>
          <w:szCs w:val="24"/>
        </w:rPr>
        <w:t xml:space="preserve">Παράλληλα, λειτουργεί ο </w:t>
      </w:r>
      <w:r w:rsidRPr="009807AF">
        <w:rPr>
          <w:rFonts w:asciiTheme="minorHAnsi" w:eastAsia="Times New Roman" w:hAnsiTheme="minorHAnsi" w:cstheme="minorHAnsi"/>
          <w:b/>
          <w:bCs/>
          <w:sz w:val="24"/>
          <w:szCs w:val="24"/>
        </w:rPr>
        <w:t>Εξωδικαστικός Μηχανισμός Ρύθμισης Οφειλών</w:t>
      </w:r>
      <w:r w:rsidRPr="009807AF">
        <w:rPr>
          <w:rFonts w:asciiTheme="minorHAnsi" w:eastAsia="Times New Roman" w:hAnsiTheme="minorHAnsi" w:cstheme="minorHAnsi"/>
          <w:sz w:val="24"/>
          <w:szCs w:val="24"/>
        </w:rPr>
        <w:t xml:space="preserve">, στον οποίο επίσης μπορούν να προσφεύγουν ιδιώτες και επιχειρήσεις για τη συνολική ρύθμιση των οφειλών τους στο Δημόσιο, σε Ασφαλιστικά Ταμεία και σε τρίτα μέρη, όπως τραπεζικά ιδρύματα. Ο ρυθμός υποβολής αιτήσεων και ολοκλήρωσης ρυθμίσεων επιταχύνεται. </w:t>
      </w:r>
      <w:r w:rsidRPr="009807AF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Η </w:t>
      </w:r>
      <w:proofErr w:type="spellStart"/>
      <w:r w:rsidRPr="009807AF">
        <w:rPr>
          <w:rFonts w:asciiTheme="minorHAnsi" w:eastAsia="Times New Roman" w:hAnsiTheme="minorHAnsi" w:cstheme="minorHAnsi"/>
          <w:b/>
          <w:bCs/>
          <w:sz w:val="24"/>
          <w:szCs w:val="24"/>
        </w:rPr>
        <w:t>εγκρισιμότητα</w:t>
      </w:r>
      <w:proofErr w:type="spellEnd"/>
      <w:r w:rsidRPr="009807AF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</w:t>
      </w:r>
      <w:r w:rsidRPr="009807AF">
        <w:rPr>
          <w:rFonts w:asciiTheme="minorHAnsi" w:eastAsia="Times New Roman" w:hAnsiTheme="minorHAnsi" w:cstheme="minorHAnsi"/>
          <w:sz w:val="24"/>
          <w:szCs w:val="24"/>
        </w:rPr>
        <w:t>για υποβληθείσες αιτήσεις κινείται πλέον στο</w:t>
      </w:r>
      <w:r w:rsidRPr="009807AF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70%, με συνεχή αυξητική τάση. Για υποθέσεις οφειλών κάτω των €200.000, </w:t>
      </w:r>
      <w:r w:rsidRPr="009807AF">
        <w:rPr>
          <w:rFonts w:asciiTheme="minorHAnsi" w:eastAsia="Times New Roman" w:hAnsiTheme="minorHAnsi" w:cstheme="minorHAnsi"/>
          <w:sz w:val="24"/>
          <w:szCs w:val="24"/>
        </w:rPr>
        <w:t xml:space="preserve">που αφορούν πρωτίστως ιδιώτες, η </w:t>
      </w:r>
      <w:proofErr w:type="spellStart"/>
      <w:r w:rsidRPr="009807AF">
        <w:rPr>
          <w:rFonts w:asciiTheme="minorHAnsi" w:eastAsia="Times New Roman" w:hAnsiTheme="minorHAnsi" w:cstheme="minorHAnsi"/>
          <w:sz w:val="24"/>
          <w:szCs w:val="24"/>
        </w:rPr>
        <w:t>εγκρισιμότητα</w:t>
      </w:r>
      <w:proofErr w:type="spellEnd"/>
      <w:r w:rsidRPr="009807AF">
        <w:rPr>
          <w:rFonts w:asciiTheme="minorHAnsi" w:eastAsia="Times New Roman" w:hAnsiTheme="minorHAnsi" w:cstheme="minorHAnsi"/>
          <w:sz w:val="24"/>
          <w:szCs w:val="24"/>
        </w:rPr>
        <w:t xml:space="preserve"> στο πλαίσιο του Εξωδικαστικού Μηχανισμού</w:t>
      </w:r>
      <w:r w:rsidRPr="009807AF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ξεπερνά το 75%. </w:t>
      </w:r>
    </w:p>
    <w:p w14:paraId="130EDA6B" w14:textId="77777777" w:rsidR="009807AF" w:rsidRDefault="009807AF" w:rsidP="003A2760">
      <w:pPr>
        <w:pStyle w:val="a4"/>
        <w:spacing w:after="0" w:line="276" w:lineRule="auto"/>
        <w:ind w:left="-270" w:right="-45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2E5FD06" w14:textId="5644A616" w:rsidR="00743081" w:rsidRPr="008016CD" w:rsidRDefault="00743081" w:rsidP="00EC280D">
      <w:pPr>
        <w:pStyle w:val="a4"/>
        <w:spacing w:after="0" w:line="276" w:lineRule="auto"/>
        <w:ind w:left="0" w:right="-450"/>
        <w:jc w:val="both"/>
        <w:rPr>
          <w:rFonts w:asciiTheme="minorHAnsi" w:hAnsiTheme="minorHAnsi" w:cstheme="minorHAnsi"/>
          <w:sz w:val="24"/>
          <w:szCs w:val="24"/>
        </w:rPr>
      </w:pPr>
      <w:r w:rsidRPr="008016CD">
        <w:rPr>
          <w:rFonts w:asciiTheme="minorHAnsi" w:eastAsia="Times New Roman" w:hAnsiTheme="minorHAnsi" w:cstheme="minorHAnsi"/>
          <w:sz w:val="24"/>
          <w:szCs w:val="24"/>
        </w:rPr>
        <w:lastRenderedPageBreak/>
        <w:t xml:space="preserve">Ο κλάδος των </w:t>
      </w:r>
      <w:r w:rsidR="00B54C74" w:rsidRPr="008016CD">
        <w:rPr>
          <w:rFonts w:asciiTheme="minorHAnsi" w:eastAsia="Times New Roman" w:hAnsiTheme="minorHAnsi" w:cstheme="minorHAnsi"/>
          <w:sz w:val="24"/>
          <w:szCs w:val="24"/>
        </w:rPr>
        <w:t>Ε</w:t>
      </w:r>
      <w:r w:rsidRPr="008016CD">
        <w:rPr>
          <w:rFonts w:asciiTheme="minorHAnsi" w:eastAsia="Times New Roman" w:hAnsiTheme="minorHAnsi" w:cstheme="minorHAnsi"/>
          <w:sz w:val="24"/>
          <w:szCs w:val="24"/>
        </w:rPr>
        <w:t>ταιρ</w:t>
      </w:r>
      <w:r w:rsidR="008A3C2E">
        <w:rPr>
          <w:rFonts w:asciiTheme="minorHAnsi" w:eastAsia="Times New Roman" w:hAnsiTheme="minorHAnsi" w:cstheme="minorHAnsi"/>
          <w:sz w:val="24"/>
          <w:szCs w:val="24"/>
        </w:rPr>
        <w:t>ε</w:t>
      </w:r>
      <w:r w:rsidRPr="008016CD">
        <w:rPr>
          <w:rFonts w:asciiTheme="minorHAnsi" w:eastAsia="Times New Roman" w:hAnsiTheme="minorHAnsi" w:cstheme="minorHAnsi"/>
          <w:sz w:val="24"/>
          <w:szCs w:val="24"/>
        </w:rPr>
        <w:t xml:space="preserve">ιών </w:t>
      </w:r>
      <w:r w:rsidR="00B54C74" w:rsidRPr="008016CD">
        <w:rPr>
          <w:rFonts w:asciiTheme="minorHAnsi" w:eastAsia="Times New Roman" w:hAnsiTheme="minorHAnsi" w:cstheme="minorHAnsi"/>
          <w:sz w:val="24"/>
          <w:szCs w:val="24"/>
        </w:rPr>
        <w:t>Δ</w:t>
      </w:r>
      <w:r w:rsidRPr="008016CD">
        <w:rPr>
          <w:rFonts w:asciiTheme="minorHAnsi" w:eastAsia="Times New Roman" w:hAnsiTheme="minorHAnsi" w:cstheme="minorHAnsi"/>
          <w:sz w:val="24"/>
          <w:szCs w:val="24"/>
        </w:rPr>
        <w:t xml:space="preserve">ιαχείρισης </w:t>
      </w:r>
      <w:r w:rsidR="00BC25B5">
        <w:rPr>
          <w:rFonts w:asciiTheme="minorHAnsi" w:eastAsia="Times New Roman" w:hAnsiTheme="minorHAnsi" w:cstheme="minorHAnsi"/>
          <w:sz w:val="24"/>
          <w:szCs w:val="24"/>
        </w:rPr>
        <w:t xml:space="preserve">Δανείων </w:t>
      </w:r>
      <w:r w:rsidRPr="008016CD">
        <w:rPr>
          <w:rFonts w:asciiTheme="minorHAnsi" w:eastAsia="Times New Roman" w:hAnsiTheme="minorHAnsi" w:cstheme="minorHAnsi"/>
          <w:sz w:val="24"/>
          <w:szCs w:val="24"/>
        </w:rPr>
        <w:t xml:space="preserve">που απασχολεί περισσότερους από 5.000 εργαζομένους, στηρίζει ιδιώτες και επιχειρήσεις στην προσπάθειά τους να επανέλθουν </w:t>
      </w:r>
      <w:r w:rsidR="006308C6">
        <w:rPr>
          <w:rFonts w:asciiTheme="minorHAnsi" w:eastAsia="Times New Roman" w:hAnsiTheme="minorHAnsi" w:cstheme="minorHAnsi"/>
          <w:sz w:val="24"/>
          <w:szCs w:val="24"/>
        </w:rPr>
        <w:t>στην ομαλή</w:t>
      </w:r>
      <w:r w:rsidRPr="008016CD">
        <w:rPr>
          <w:rFonts w:asciiTheme="minorHAnsi" w:eastAsia="Times New Roman" w:hAnsiTheme="minorHAnsi" w:cstheme="minorHAnsi"/>
          <w:sz w:val="24"/>
          <w:szCs w:val="24"/>
        </w:rPr>
        <w:t xml:space="preserve"> οικονομική δραστηριότητα, συμβάλλοντας στην </w:t>
      </w:r>
      <w:r w:rsidR="00B212CA">
        <w:rPr>
          <w:rFonts w:asciiTheme="minorHAnsi" w:eastAsia="Times New Roman" w:hAnsiTheme="minorHAnsi" w:cstheme="minorHAnsi"/>
          <w:sz w:val="24"/>
          <w:szCs w:val="24"/>
        </w:rPr>
        <w:t xml:space="preserve">εξυγίανση και </w:t>
      </w:r>
      <w:r w:rsidRPr="008016CD">
        <w:rPr>
          <w:rFonts w:asciiTheme="minorHAnsi" w:eastAsia="Times New Roman" w:hAnsiTheme="minorHAnsi" w:cstheme="minorHAnsi"/>
          <w:sz w:val="24"/>
          <w:szCs w:val="24"/>
        </w:rPr>
        <w:t>ανάπτυξη της ελληνικής οικονομίας.</w:t>
      </w:r>
    </w:p>
    <w:p w14:paraId="3C289D1B" w14:textId="77777777" w:rsidR="00743081" w:rsidRPr="008016CD" w:rsidRDefault="00743081" w:rsidP="003A2760">
      <w:pPr>
        <w:pStyle w:val="a4"/>
        <w:spacing w:after="0" w:line="276" w:lineRule="auto"/>
        <w:ind w:left="-270" w:right="-45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D1FEB0C" w14:textId="77777777" w:rsidR="00743081" w:rsidRPr="008016CD" w:rsidRDefault="00743081" w:rsidP="003A2760">
      <w:pPr>
        <w:pStyle w:val="a4"/>
        <w:spacing w:after="0" w:line="276" w:lineRule="auto"/>
        <w:ind w:left="-270" w:right="-45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7CB20072" w14:textId="77777777" w:rsidR="00743081" w:rsidRPr="008016CD" w:rsidRDefault="00743081" w:rsidP="003A276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743081" w:rsidRPr="008016CD">
      <w:headerReference w:type="default" r:id="rId12"/>
      <w:footerReference w:type="default" r:id="rId13"/>
      <w:pgSz w:w="11906" w:h="16838"/>
      <w:pgMar w:top="1440" w:right="1800" w:bottom="1440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349BBC" w14:textId="77777777" w:rsidR="00357C64" w:rsidRDefault="00357C64">
      <w:pPr>
        <w:spacing w:after="0" w:line="240" w:lineRule="auto"/>
      </w:pPr>
      <w:r>
        <w:separator/>
      </w:r>
    </w:p>
  </w:endnote>
  <w:endnote w:type="continuationSeparator" w:id="0">
    <w:p w14:paraId="4F20DFCC" w14:textId="77777777" w:rsidR="00357C64" w:rsidRDefault="00357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52990" w14:textId="77777777" w:rsidR="00E5190D" w:rsidRDefault="00AD2B0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45C7B">
      <w:rPr>
        <w:noProof/>
        <w:color w:val="000000"/>
      </w:rPr>
      <w:t>1</w:t>
    </w:r>
    <w:r>
      <w:rPr>
        <w:color w:val="000000"/>
      </w:rPr>
      <w:fldChar w:fldCharType="end"/>
    </w:r>
  </w:p>
  <w:p w14:paraId="4FF86C2D" w14:textId="77777777" w:rsidR="00E5190D" w:rsidRDefault="00E519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8C2C20" w14:textId="77777777" w:rsidR="00357C64" w:rsidRDefault="00357C64">
      <w:pPr>
        <w:spacing w:after="0" w:line="240" w:lineRule="auto"/>
      </w:pPr>
      <w:r>
        <w:separator/>
      </w:r>
    </w:p>
  </w:footnote>
  <w:footnote w:type="continuationSeparator" w:id="0">
    <w:p w14:paraId="1D9BA363" w14:textId="77777777" w:rsidR="00357C64" w:rsidRDefault="00357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70CFB" w14:textId="77777777" w:rsidR="00E5190D" w:rsidRDefault="00E519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left="-142" w:firstLine="142"/>
      <w:rPr>
        <w:color w:val="000000"/>
      </w:rPr>
    </w:pPr>
  </w:p>
  <w:tbl>
    <w:tblPr>
      <w:tblStyle w:val="af0"/>
      <w:tblW w:w="8779" w:type="dxa"/>
      <w:tblInd w:w="-318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264"/>
      <w:gridCol w:w="4515"/>
    </w:tblGrid>
    <w:tr w:rsidR="00E5190D" w14:paraId="5A97AE1A" w14:textId="77777777">
      <w:trPr>
        <w:trHeight w:val="1556"/>
      </w:trPr>
      <w:tc>
        <w:tcPr>
          <w:tcW w:w="4264" w:type="dxa"/>
        </w:tcPr>
        <w:p w14:paraId="6B49B486" w14:textId="77777777" w:rsidR="00E5190D" w:rsidRDefault="00AD2B05">
          <w:pPr>
            <w:tabs>
              <w:tab w:val="center" w:pos="4153"/>
              <w:tab w:val="right" w:pos="8306"/>
            </w:tabs>
          </w:pPr>
          <w:r>
            <w:rPr>
              <w:noProof/>
              <w:lang w:eastAsia="el-GR"/>
            </w:rPr>
            <w:drawing>
              <wp:inline distT="0" distB="0" distL="0" distR="0" wp14:anchorId="7FF960F9" wp14:editId="1D0A2FFD">
                <wp:extent cx="1836000" cy="900004"/>
                <wp:effectExtent l="0" t="0" r="0" b="0"/>
                <wp:docPr id="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l="8494" t="14834" r="8557" b="276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6000" cy="90000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5" w:type="dxa"/>
        </w:tcPr>
        <w:p w14:paraId="059F737E" w14:textId="77777777" w:rsidR="00E5190D" w:rsidRDefault="00E5190D">
          <w:pPr>
            <w:tabs>
              <w:tab w:val="center" w:pos="4153"/>
              <w:tab w:val="right" w:pos="8306"/>
            </w:tabs>
            <w:jc w:val="right"/>
            <w:rPr>
              <w:sz w:val="20"/>
              <w:szCs w:val="20"/>
            </w:rPr>
          </w:pPr>
        </w:p>
        <w:p w14:paraId="511E5129" w14:textId="77777777" w:rsidR="00E5190D" w:rsidRDefault="00AD2B05">
          <w:pPr>
            <w:tabs>
              <w:tab w:val="center" w:pos="4153"/>
              <w:tab w:val="right" w:pos="8306"/>
            </w:tabs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Λαγουμιτζή 24 </w:t>
          </w:r>
        </w:p>
        <w:p w14:paraId="131C6811" w14:textId="77777777" w:rsidR="00E5190D" w:rsidRDefault="00AD2B05">
          <w:pPr>
            <w:tabs>
              <w:tab w:val="center" w:pos="4153"/>
              <w:tab w:val="right" w:pos="8306"/>
            </w:tabs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Καλλιθέα ΤΚ 17671 </w:t>
          </w:r>
        </w:p>
        <w:p w14:paraId="43D1034E" w14:textId="77777777" w:rsidR="00E5190D" w:rsidRDefault="00AD2B05">
          <w:pPr>
            <w:tabs>
              <w:tab w:val="center" w:pos="4153"/>
              <w:tab w:val="right" w:pos="8306"/>
            </w:tabs>
            <w:jc w:val="right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Τηλ</w:t>
          </w:r>
          <w:proofErr w:type="spellEnd"/>
          <w:r>
            <w:rPr>
              <w:sz w:val="20"/>
              <w:szCs w:val="20"/>
            </w:rPr>
            <w:t>. 211 1097286</w:t>
          </w:r>
        </w:p>
        <w:p w14:paraId="4478AAD7" w14:textId="77777777" w:rsidR="00E5190D" w:rsidRDefault="00AD2B05">
          <w:pPr>
            <w:tabs>
              <w:tab w:val="center" w:pos="4153"/>
              <w:tab w:val="right" w:pos="8306"/>
            </w:tabs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e-</w:t>
          </w:r>
          <w:proofErr w:type="spellStart"/>
          <w:r>
            <w:rPr>
              <w:sz w:val="20"/>
              <w:szCs w:val="20"/>
            </w:rPr>
            <w:t>mail</w:t>
          </w:r>
          <w:proofErr w:type="spellEnd"/>
          <w:r>
            <w:rPr>
              <w:sz w:val="20"/>
              <w:szCs w:val="20"/>
            </w:rPr>
            <w:t xml:space="preserve">: info@eedadp.com </w:t>
          </w:r>
        </w:p>
        <w:p w14:paraId="643EDC56" w14:textId="77777777" w:rsidR="00E5190D" w:rsidRDefault="00357C64">
          <w:pPr>
            <w:tabs>
              <w:tab w:val="center" w:pos="4153"/>
              <w:tab w:val="right" w:pos="8306"/>
            </w:tabs>
            <w:jc w:val="right"/>
            <w:rPr>
              <w:sz w:val="20"/>
              <w:szCs w:val="20"/>
            </w:rPr>
          </w:pPr>
          <w:hyperlink r:id="rId2">
            <w:r w:rsidR="00AD2B05">
              <w:rPr>
                <w:color w:val="0563C1"/>
                <w:sz w:val="20"/>
                <w:szCs w:val="20"/>
                <w:u w:val="single"/>
              </w:rPr>
              <w:t>www.eedadp.com</w:t>
            </w:r>
          </w:hyperlink>
          <w:r w:rsidR="00AD2B05">
            <w:rPr>
              <w:sz w:val="20"/>
              <w:szCs w:val="20"/>
            </w:rPr>
            <w:t xml:space="preserve"> </w:t>
          </w:r>
        </w:p>
      </w:tc>
    </w:tr>
  </w:tbl>
  <w:p w14:paraId="07FEF3A4" w14:textId="77777777" w:rsidR="00E5190D" w:rsidRDefault="00E519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color w:val="000000"/>
      </w:rPr>
    </w:pPr>
  </w:p>
  <w:p w14:paraId="5AD58609" w14:textId="77777777" w:rsidR="00E5190D" w:rsidRDefault="00E5190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E2ED8"/>
    <w:multiLevelType w:val="hybridMultilevel"/>
    <w:tmpl w:val="C3DA177C"/>
    <w:lvl w:ilvl="0" w:tplc="0408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25A02EC7"/>
    <w:multiLevelType w:val="hybridMultilevel"/>
    <w:tmpl w:val="7E1ED0F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315A7B8B"/>
    <w:multiLevelType w:val="hybridMultilevel"/>
    <w:tmpl w:val="3EB89AE4"/>
    <w:lvl w:ilvl="0" w:tplc="A53A378C">
      <w:start w:val="300"/>
      <w:numFmt w:val="bullet"/>
      <w:lvlText w:val="-"/>
      <w:lvlJc w:val="left"/>
      <w:pPr>
        <w:ind w:left="864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>
    <w:nsid w:val="36FB6CE5"/>
    <w:multiLevelType w:val="hybridMultilevel"/>
    <w:tmpl w:val="C2C80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4F7E2F"/>
    <w:multiLevelType w:val="hybridMultilevel"/>
    <w:tmpl w:val="E252F1CE"/>
    <w:lvl w:ilvl="0" w:tplc="24704AEE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4D77335"/>
    <w:multiLevelType w:val="hybridMultilevel"/>
    <w:tmpl w:val="2AA446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D4036"/>
    <w:multiLevelType w:val="hybridMultilevel"/>
    <w:tmpl w:val="D7DEE3D6"/>
    <w:lvl w:ilvl="0" w:tplc="748A6602">
      <w:start w:val="300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1E5557F"/>
    <w:multiLevelType w:val="hybridMultilevel"/>
    <w:tmpl w:val="3B8E16CC"/>
    <w:lvl w:ilvl="0" w:tplc="D5D2684C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34872"/>
    <w:multiLevelType w:val="hybridMultilevel"/>
    <w:tmpl w:val="9138B1F4"/>
    <w:lvl w:ilvl="0" w:tplc="4190BD5C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507D47"/>
    <w:multiLevelType w:val="multilevel"/>
    <w:tmpl w:val="B92094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7BC04297"/>
    <w:multiLevelType w:val="hybridMultilevel"/>
    <w:tmpl w:val="27FEB22E"/>
    <w:lvl w:ilvl="0" w:tplc="2142491A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7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0D"/>
    <w:rsid w:val="000208FF"/>
    <w:rsid w:val="0002618C"/>
    <w:rsid w:val="000430B0"/>
    <w:rsid w:val="0004594F"/>
    <w:rsid w:val="00046606"/>
    <w:rsid w:val="00050580"/>
    <w:rsid w:val="00074330"/>
    <w:rsid w:val="00074579"/>
    <w:rsid w:val="00076C8D"/>
    <w:rsid w:val="000A6A9D"/>
    <w:rsid w:val="000F0077"/>
    <w:rsid w:val="000F3A02"/>
    <w:rsid w:val="00102920"/>
    <w:rsid w:val="00103592"/>
    <w:rsid w:val="0011375B"/>
    <w:rsid w:val="0011672F"/>
    <w:rsid w:val="00136426"/>
    <w:rsid w:val="00145C7B"/>
    <w:rsid w:val="001469E8"/>
    <w:rsid w:val="0015786D"/>
    <w:rsid w:val="00162E70"/>
    <w:rsid w:val="00166DED"/>
    <w:rsid w:val="00167178"/>
    <w:rsid w:val="001729FC"/>
    <w:rsid w:val="001A2ACA"/>
    <w:rsid w:val="001A3D0D"/>
    <w:rsid w:val="001C2BC2"/>
    <w:rsid w:val="001D4F16"/>
    <w:rsid w:val="00200FE7"/>
    <w:rsid w:val="00207DFA"/>
    <w:rsid w:val="00210DF8"/>
    <w:rsid w:val="00212F61"/>
    <w:rsid w:val="00213E6D"/>
    <w:rsid w:val="00225005"/>
    <w:rsid w:val="0022605E"/>
    <w:rsid w:val="002267A7"/>
    <w:rsid w:val="00236BB3"/>
    <w:rsid w:val="00246FEF"/>
    <w:rsid w:val="002524C8"/>
    <w:rsid w:val="00270DE9"/>
    <w:rsid w:val="00290C1E"/>
    <w:rsid w:val="002A0F3B"/>
    <w:rsid w:val="002A6B71"/>
    <w:rsid w:val="002D4567"/>
    <w:rsid w:val="002E0BD8"/>
    <w:rsid w:val="002F29A4"/>
    <w:rsid w:val="002F5DC9"/>
    <w:rsid w:val="00306598"/>
    <w:rsid w:val="00341130"/>
    <w:rsid w:val="00355F95"/>
    <w:rsid w:val="00357C64"/>
    <w:rsid w:val="003815C6"/>
    <w:rsid w:val="003A2760"/>
    <w:rsid w:val="003B7E8A"/>
    <w:rsid w:val="003B7F75"/>
    <w:rsid w:val="003C0C11"/>
    <w:rsid w:val="003D6E35"/>
    <w:rsid w:val="003D7A84"/>
    <w:rsid w:val="003F4AB3"/>
    <w:rsid w:val="003F5B31"/>
    <w:rsid w:val="00407A82"/>
    <w:rsid w:val="00426734"/>
    <w:rsid w:val="00437576"/>
    <w:rsid w:val="004706A5"/>
    <w:rsid w:val="00473C87"/>
    <w:rsid w:val="004766A3"/>
    <w:rsid w:val="004A0542"/>
    <w:rsid w:val="004C22EE"/>
    <w:rsid w:val="004C673B"/>
    <w:rsid w:val="004E5558"/>
    <w:rsid w:val="004E7006"/>
    <w:rsid w:val="004F2D5B"/>
    <w:rsid w:val="00515AB2"/>
    <w:rsid w:val="00556FD4"/>
    <w:rsid w:val="005715F3"/>
    <w:rsid w:val="00575AC4"/>
    <w:rsid w:val="0059138E"/>
    <w:rsid w:val="005922F6"/>
    <w:rsid w:val="005A7EC7"/>
    <w:rsid w:val="005B60AA"/>
    <w:rsid w:val="00605898"/>
    <w:rsid w:val="00614755"/>
    <w:rsid w:val="0062290B"/>
    <w:rsid w:val="006308C6"/>
    <w:rsid w:val="0068374A"/>
    <w:rsid w:val="006B06C9"/>
    <w:rsid w:val="006D6CCB"/>
    <w:rsid w:val="006E0415"/>
    <w:rsid w:val="006E2846"/>
    <w:rsid w:val="006E3FFF"/>
    <w:rsid w:val="006F0089"/>
    <w:rsid w:val="006F324A"/>
    <w:rsid w:val="00732102"/>
    <w:rsid w:val="00734513"/>
    <w:rsid w:val="007423D7"/>
    <w:rsid w:val="00743081"/>
    <w:rsid w:val="007721FF"/>
    <w:rsid w:val="007740E9"/>
    <w:rsid w:val="007755C3"/>
    <w:rsid w:val="0078635E"/>
    <w:rsid w:val="007A0D69"/>
    <w:rsid w:val="007A2CAB"/>
    <w:rsid w:val="007D7989"/>
    <w:rsid w:val="007F1CB0"/>
    <w:rsid w:val="008016CD"/>
    <w:rsid w:val="00816AC5"/>
    <w:rsid w:val="00860EED"/>
    <w:rsid w:val="00873BE7"/>
    <w:rsid w:val="00877F5B"/>
    <w:rsid w:val="008943D6"/>
    <w:rsid w:val="00897D3A"/>
    <w:rsid w:val="008A3C2E"/>
    <w:rsid w:val="008B1CC1"/>
    <w:rsid w:val="008C2C9C"/>
    <w:rsid w:val="008C5511"/>
    <w:rsid w:val="008C7EAD"/>
    <w:rsid w:val="008E53B2"/>
    <w:rsid w:val="00904C37"/>
    <w:rsid w:val="0092772B"/>
    <w:rsid w:val="00933C60"/>
    <w:rsid w:val="009504B9"/>
    <w:rsid w:val="00953565"/>
    <w:rsid w:val="009619BC"/>
    <w:rsid w:val="009807AF"/>
    <w:rsid w:val="009844E1"/>
    <w:rsid w:val="009915FF"/>
    <w:rsid w:val="0099511C"/>
    <w:rsid w:val="009962BB"/>
    <w:rsid w:val="009B24EF"/>
    <w:rsid w:val="009B5984"/>
    <w:rsid w:val="009E3905"/>
    <w:rsid w:val="009E7B5E"/>
    <w:rsid w:val="009F3776"/>
    <w:rsid w:val="00A3365B"/>
    <w:rsid w:val="00A501F2"/>
    <w:rsid w:val="00A606F7"/>
    <w:rsid w:val="00A771DF"/>
    <w:rsid w:val="00A86EA6"/>
    <w:rsid w:val="00A960CF"/>
    <w:rsid w:val="00AB06CD"/>
    <w:rsid w:val="00AD2B05"/>
    <w:rsid w:val="00AF4DCD"/>
    <w:rsid w:val="00B212CA"/>
    <w:rsid w:val="00B40269"/>
    <w:rsid w:val="00B41735"/>
    <w:rsid w:val="00B4190D"/>
    <w:rsid w:val="00B44993"/>
    <w:rsid w:val="00B54C74"/>
    <w:rsid w:val="00B8146D"/>
    <w:rsid w:val="00BA3D97"/>
    <w:rsid w:val="00BC068E"/>
    <w:rsid w:val="00BC25B5"/>
    <w:rsid w:val="00BE1F8D"/>
    <w:rsid w:val="00C16C21"/>
    <w:rsid w:val="00C3338D"/>
    <w:rsid w:val="00C5102C"/>
    <w:rsid w:val="00C77AFF"/>
    <w:rsid w:val="00C85E79"/>
    <w:rsid w:val="00CA2CEF"/>
    <w:rsid w:val="00CA6872"/>
    <w:rsid w:val="00CC16E8"/>
    <w:rsid w:val="00CC6EF5"/>
    <w:rsid w:val="00CD3811"/>
    <w:rsid w:val="00CE64DA"/>
    <w:rsid w:val="00CF6118"/>
    <w:rsid w:val="00D00ECB"/>
    <w:rsid w:val="00D02FD3"/>
    <w:rsid w:val="00D13964"/>
    <w:rsid w:val="00D16F5A"/>
    <w:rsid w:val="00D314EA"/>
    <w:rsid w:val="00D3533D"/>
    <w:rsid w:val="00D6371D"/>
    <w:rsid w:val="00D75F4C"/>
    <w:rsid w:val="00D83108"/>
    <w:rsid w:val="00DA7327"/>
    <w:rsid w:val="00DE5DE3"/>
    <w:rsid w:val="00DF3ED6"/>
    <w:rsid w:val="00E03F65"/>
    <w:rsid w:val="00E11790"/>
    <w:rsid w:val="00E235A4"/>
    <w:rsid w:val="00E475C5"/>
    <w:rsid w:val="00E50BF4"/>
    <w:rsid w:val="00E5190D"/>
    <w:rsid w:val="00E55482"/>
    <w:rsid w:val="00E55E9F"/>
    <w:rsid w:val="00E7344A"/>
    <w:rsid w:val="00E80B75"/>
    <w:rsid w:val="00EA6A1F"/>
    <w:rsid w:val="00EB5C6B"/>
    <w:rsid w:val="00EC280D"/>
    <w:rsid w:val="00EE236A"/>
    <w:rsid w:val="00EE4DB3"/>
    <w:rsid w:val="00EE6AF8"/>
    <w:rsid w:val="00EF799B"/>
    <w:rsid w:val="00F032BA"/>
    <w:rsid w:val="00F0472F"/>
    <w:rsid w:val="00F143D9"/>
    <w:rsid w:val="00F45A35"/>
    <w:rsid w:val="00F4634E"/>
    <w:rsid w:val="00F9417F"/>
    <w:rsid w:val="00FD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648D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l-GR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8D70C7"/>
    <w:pPr>
      <w:ind w:left="720"/>
      <w:contextualSpacing/>
    </w:pPr>
  </w:style>
  <w:style w:type="paragraph" w:customStyle="1" w:styleId="xmsonormal">
    <w:name w:val="x_msonormal"/>
    <w:basedOn w:val="a"/>
    <w:rsid w:val="008D7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"/>
    <w:uiPriority w:val="99"/>
    <w:unhideWhenUsed/>
    <w:rsid w:val="00334B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334BC8"/>
  </w:style>
  <w:style w:type="paragraph" w:styleId="a6">
    <w:name w:val="footer"/>
    <w:basedOn w:val="a"/>
    <w:link w:val="Char0"/>
    <w:uiPriority w:val="99"/>
    <w:unhideWhenUsed/>
    <w:rsid w:val="00334B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334BC8"/>
  </w:style>
  <w:style w:type="character" w:styleId="-">
    <w:name w:val="Hyperlink"/>
    <w:basedOn w:val="a0"/>
    <w:uiPriority w:val="99"/>
    <w:unhideWhenUsed/>
    <w:rsid w:val="00B74FD1"/>
    <w:rPr>
      <w:color w:val="0563C1" w:themeColor="hyperlink"/>
      <w:u w:val="single"/>
    </w:rPr>
  </w:style>
  <w:style w:type="table" w:customStyle="1" w:styleId="TableGrid1">
    <w:name w:val="Table Grid1"/>
    <w:basedOn w:val="a1"/>
    <w:next w:val="a7"/>
    <w:uiPriority w:val="39"/>
    <w:rsid w:val="00B74FD1"/>
    <w:pPr>
      <w:spacing w:after="0" w:line="240" w:lineRule="auto"/>
    </w:pPr>
    <w:rPr>
      <w:rFonts w:ascii="Cambria" w:hAnsi="Cambria"/>
      <w:color w:val="00206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B74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9E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9E2795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FA07BE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FA07BE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FA07BE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FA07BE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FA07BE"/>
    <w:rPr>
      <w:b/>
      <w:bCs/>
      <w:sz w:val="20"/>
      <w:szCs w:val="20"/>
    </w:rPr>
  </w:style>
  <w:style w:type="paragraph" w:styleId="Web">
    <w:name w:val="Normal (Web)"/>
    <w:basedOn w:val="a"/>
    <w:uiPriority w:val="99"/>
    <w:unhideWhenUsed/>
    <w:rsid w:val="00E8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gmaildefault">
    <w:name w:val="gmail_default"/>
    <w:basedOn w:val="a0"/>
    <w:rsid w:val="00D50B20"/>
  </w:style>
  <w:style w:type="character" w:customStyle="1" w:styleId="10">
    <w:name w:val="Ανεπίλυτη αναφορά1"/>
    <w:basedOn w:val="a0"/>
    <w:uiPriority w:val="99"/>
    <w:semiHidden/>
    <w:unhideWhenUsed/>
    <w:rsid w:val="00076A14"/>
    <w:rPr>
      <w:color w:val="605E5C"/>
      <w:shd w:val="clear" w:color="auto" w:fill="E1DFDD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pPr>
      <w:spacing w:after="0" w:line="240" w:lineRule="auto"/>
    </w:pPr>
    <w:rPr>
      <w:rFonts w:ascii="Cambria" w:eastAsia="Cambria" w:hAnsi="Cambria" w:cs="Cambria"/>
      <w:color w:val="00206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a1"/>
    <w:pPr>
      <w:spacing w:after="0" w:line="240" w:lineRule="auto"/>
    </w:pPr>
    <w:rPr>
      <w:rFonts w:ascii="Cambria" w:eastAsia="Cambria" w:hAnsi="Cambria" w:cs="Cambria"/>
      <w:color w:val="00206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a1"/>
    <w:pPr>
      <w:spacing w:after="0" w:line="240" w:lineRule="auto"/>
    </w:pPr>
    <w:rPr>
      <w:rFonts w:ascii="Cambria" w:eastAsia="Cambria" w:hAnsi="Cambria" w:cs="Cambria"/>
      <w:color w:val="00206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a1"/>
    <w:pPr>
      <w:spacing w:after="0" w:line="240" w:lineRule="auto"/>
    </w:pPr>
    <w:rPr>
      <w:rFonts w:ascii="Cambria" w:eastAsia="Cambria" w:hAnsi="Cambria" w:cs="Cambria"/>
      <w:color w:val="00206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Revision"/>
    <w:hidden/>
    <w:uiPriority w:val="99"/>
    <w:semiHidden/>
    <w:rsid w:val="007430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l-GR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8D70C7"/>
    <w:pPr>
      <w:ind w:left="720"/>
      <w:contextualSpacing/>
    </w:pPr>
  </w:style>
  <w:style w:type="paragraph" w:customStyle="1" w:styleId="xmsonormal">
    <w:name w:val="x_msonormal"/>
    <w:basedOn w:val="a"/>
    <w:rsid w:val="008D7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"/>
    <w:uiPriority w:val="99"/>
    <w:unhideWhenUsed/>
    <w:rsid w:val="00334B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334BC8"/>
  </w:style>
  <w:style w:type="paragraph" w:styleId="a6">
    <w:name w:val="footer"/>
    <w:basedOn w:val="a"/>
    <w:link w:val="Char0"/>
    <w:uiPriority w:val="99"/>
    <w:unhideWhenUsed/>
    <w:rsid w:val="00334B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334BC8"/>
  </w:style>
  <w:style w:type="character" w:styleId="-">
    <w:name w:val="Hyperlink"/>
    <w:basedOn w:val="a0"/>
    <w:uiPriority w:val="99"/>
    <w:unhideWhenUsed/>
    <w:rsid w:val="00B74FD1"/>
    <w:rPr>
      <w:color w:val="0563C1" w:themeColor="hyperlink"/>
      <w:u w:val="single"/>
    </w:rPr>
  </w:style>
  <w:style w:type="table" w:customStyle="1" w:styleId="TableGrid1">
    <w:name w:val="Table Grid1"/>
    <w:basedOn w:val="a1"/>
    <w:next w:val="a7"/>
    <w:uiPriority w:val="39"/>
    <w:rsid w:val="00B74FD1"/>
    <w:pPr>
      <w:spacing w:after="0" w:line="240" w:lineRule="auto"/>
    </w:pPr>
    <w:rPr>
      <w:rFonts w:ascii="Cambria" w:hAnsi="Cambria"/>
      <w:color w:val="00206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B74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9E2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9E2795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FA07BE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FA07BE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a"/>
    <w:uiPriority w:val="99"/>
    <w:semiHidden/>
    <w:rsid w:val="00FA07BE"/>
    <w:rPr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FA07BE"/>
    <w:rPr>
      <w:b/>
      <w:bCs/>
    </w:rPr>
  </w:style>
  <w:style w:type="character" w:customStyle="1" w:styleId="Char3">
    <w:name w:val="Θέμα σχολίου Char"/>
    <w:basedOn w:val="Char2"/>
    <w:link w:val="ab"/>
    <w:uiPriority w:val="99"/>
    <w:semiHidden/>
    <w:rsid w:val="00FA07BE"/>
    <w:rPr>
      <w:b/>
      <w:bCs/>
      <w:sz w:val="20"/>
      <w:szCs w:val="20"/>
    </w:rPr>
  </w:style>
  <w:style w:type="paragraph" w:styleId="Web">
    <w:name w:val="Normal (Web)"/>
    <w:basedOn w:val="a"/>
    <w:uiPriority w:val="99"/>
    <w:unhideWhenUsed/>
    <w:rsid w:val="00E87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gmaildefault">
    <w:name w:val="gmail_default"/>
    <w:basedOn w:val="a0"/>
    <w:rsid w:val="00D50B20"/>
  </w:style>
  <w:style w:type="character" w:customStyle="1" w:styleId="10">
    <w:name w:val="Ανεπίλυτη αναφορά1"/>
    <w:basedOn w:val="a0"/>
    <w:uiPriority w:val="99"/>
    <w:semiHidden/>
    <w:unhideWhenUsed/>
    <w:rsid w:val="00076A14"/>
    <w:rPr>
      <w:color w:val="605E5C"/>
      <w:shd w:val="clear" w:color="auto" w:fill="E1DFDD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pPr>
      <w:spacing w:after="0" w:line="240" w:lineRule="auto"/>
    </w:pPr>
    <w:rPr>
      <w:rFonts w:ascii="Cambria" w:eastAsia="Cambria" w:hAnsi="Cambria" w:cs="Cambria"/>
      <w:color w:val="00206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a1"/>
    <w:pPr>
      <w:spacing w:after="0" w:line="240" w:lineRule="auto"/>
    </w:pPr>
    <w:rPr>
      <w:rFonts w:ascii="Cambria" w:eastAsia="Cambria" w:hAnsi="Cambria" w:cs="Cambria"/>
      <w:color w:val="00206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a1"/>
    <w:pPr>
      <w:spacing w:after="0" w:line="240" w:lineRule="auto"/>
    </w:pPr>
    <w:rPr>
      <w:rFonts w:ascii="Cambria" w:eastAsia="Cambria" w:hAnsi="Cambria" w:cs="Cambria"/>
      <w:color w:val="00206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a1"/>
    <w:pPr>
      <w:spacing w:after="0" w:line="240" w:lineRule="auto"/>
    </w:pPr>
    <w:rPr>
      <w:rFonts w:ascii="Cambria" w:eastAsia="Cambria" w:hAnsi="Cambria" w:cs="Cambria"/>
      <w:color w:val="00206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Revision"/>
    <w:hidden/>
    <w:uiPriority w:val="99"/>
    <w:semiHidden/>
    <w:rsid w:val="007430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edadp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2ab1ee-87e5-4faf-bc58-2b7dd8dcc1e1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9ofHjaS6sf2SP/y8eL5yuBj0Lw==">AMUW2mWg1tZTDBF+PoUxIAP9NlvMlJ1zPZGpdahoh1hPGIsUhOsX7bn5be/k92oUeBusbhIkGuv3YhwnUxoIokM1jgIA4ZOfxgZEed+L0CjkTuE7cpCiTcw=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729DDD680B7C4D95955CE902FF5506" ma:contentTypeVersion="14" ma:contentTypeDescription="Create a new document." ma:contentTypeScope="" ma:versionID="e03964cf9664b319d3d6c26798a63da2">
  <xsd:schema xmlns:xsd="http://www.w3.org/2001/XMLSchema" xmlns:xs="http://www.w3.org/2001/XMLSchema" xmlns:p="http://schemas.microsoft.com/office/2006/metadata/properties" xmlns:ns3="d52ab1ee-87e5-4faf-bc58-2b7dd8dcc1e1" xmlns:ns4="d24993ec-b3e4-4349-a104-150b65882ce0" targetNamespace="http://schemas.microsoft.com/office/2006/metadata/properties" ma:root="true" ma:fieldsID="c5d900acfb008462d5c6c1caf9040d45" ns3:_="" ns4:_="">
    <xsd:import namespace="d52ab1ee-87e5-4faf-bc58-2b7dd8dcc1e1"/>
    <xsd:import namespace="d24993ec-b3e4-4349-a104-150b65882c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ab1ee-87e5-4faf-bc58-2b7dd8dcc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993ec-b3e4-4349-a104-150b65882c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785A81-C3F9-42DF-892C-90949B5C52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04E095-2648-44A0-95DF-5F37CFCD709C}">
  <ds:schemaRefs>
    <ds:schemaRef ds:uri="http://schemas.microsoft.com/office/2006/metadata/properties"/>
    <ds:schemaRef ds:uri="http://schemas.microsoft.com/office/infopath/2007/PartnerControls"/>
    <ds:schemaRef ds:uri="d52ab1ee-87e5-4faf-bc58-2b7dd8dcc1e1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D2CDE42-0F14-402F-99C0-8558E6F23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ab1ee-87e5-4faf-bc58-2b7dd8dcc1e1"/>
    <ds:schemaRef ds:uri="d24993ec-b3e4-4349-a104-150b65882c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1194</Words>
  <Characters>6449</Characters>
  <Application>Microsoft Office Word</Application>
  <DocSecurity>0</DocSecurity>
  <Lines>53</Lines>
  <Paragraphs>15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 Andritsos</dc:creator>
  <cp:lastModifiedBy>User</cp:lastModifiedBy>
  <cp:revision>2</cp:revision>
  <cp:lastPrinted>2023-02-01T16:51:00Z</cp:lastPrinted>
  <dcterms:created xsi:type="dcterms:W3CDTF">2023-02-22T06:51:00Z</dcterms:created>
  <dcterms:modified xsi:type="dcterms:W3CDTF">2023-02-22T06:51:00Z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0x01010039729DDD680B7C4D95955CE902FF5506</vt:lpwstr>
  </property>
</Properties>
</file>